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color w:val="666666"/>
          <w:sz w:val="18"/>
          <w:szCs w:val="18"/>
        </w:rPr>
        <w:t xml:space="preserve">CLIENT ALERT  |  5 October 2026</w:t>
      </w:r>
    </w:p>
    <w:p>
      <w:pPr>
        <w:spacing w:after="60"/>
      </w:pPr>
      <w:r>
        <w:rPr>
          <w:rFonts w:ascii="Arial" w:cs="Arial" w:eastAsia="Arial" w:hAnsi="Arial"/>
          <w:b/>
          <w:bCs/>
          <w:color w:val="1F3A5F"/>
          <w:sz w:val="40"/>
          <w:szCs w:val="40"/>
        </w:rPr>
        <w:t xml:space="preserve">EU AI Act Article 50: what your customer-facing chatbot must now tell users</w:t>
      </w:r>
    </w:p>
    <w:p>
      <w:pPr>
        <w:spacing w:after="120"/>
      </w:pPr>
      <w:r>
        <w:rPr>
          <w:rFonts w:ascii="Calibri" w:cs="Calibri" w:eastAsia="Calibri" w:hAnsi="Calibri"/>
          <w:i/>
          <w:iCs/>
          <w:color w:val="444444"/>
          <w:sz w:val="21"/>
          <w:szCs w:val="21"/>
        </w:rPr>
        <w:t xml:space="preserve">Regulation (EU) 2024/1689, Article 50 (as amended by Regulation (EU) 2026/1744). Prepared for fintech clients: B2B SaaS provider of a customer-facing chatbot sold in the EU.</w:t>
      </w:r>
    </w:p>
    <w:p>
      <w:pPr>
        <w:spacing w:after="100" w:line="269"/>
      </w:pPr>
      <w:r>
        <w:rPr>
          <w:rFonts w:ascii="Calibri" w:cs="Calibri" w:eastAsia="Calibri" w:hAnsi="Calibri"/>
          <w:b/>
          <w:bCs/>
          <w:sz w:val="21"/>
          <w:szCs w:val="21"/>
        </w:rPr>
        <w:t xml:space="preserve">Interpretation used:</w:t>
      </w:r>
      <w:r>
        <w:rPr>
          <w:rFonts w:ascii="Calibri" w:cs="Calibri" w:eastAsia="Calibri" w:hAnsi="Calibri"/>
          <w:sz w:val="21"/>
          <w:szCs w:val="21"/>
        </w:rPr>
        <w:t xml:space="preserve"> We assume the chatbot is an AI system that answers end customers of EU fintech firms in free text; that your company supplies it under its own name or trademark (so you are the “provider” and your fintech customers are “deployers”); and that it was placed on the EU market before 2 August 2026. We have not seen the text of your four documents. Every gap below is therefore inferred, not text-based.</w:t>
      </w:r>
    </w:p>
    <w:p>
      <w:pPr>
        <w:pStyle w:val="Heading1"/>
      </w:pPr>
      <w:r>
        <w:t xml:space="preserve">Summary</w:t>
      </w:r>
    </w:p>
    <w:p>
      <w:pPr>
        <w:spacing w:after="100" w:line="269"/>
      </w:pPr>
      <w:r>
        <w:rPr>
          <w:rFonts w:ascii="Calibri" w:cs="Calibri" w:eastAsia="Calibri" w:hAnsi="Calibri"/>
          <w:b/>
          <w:bCs/>
          <w:sz w:val="21"/>
          <w:szCs w:val="21"/>
        </w:rPr>
        <w:t xml:space="preserve">Headline: Article 50 has applied since 2 August 2026. Your chatbot must already tell people they are talking to AI, and it must mark its text output in machine-readable form by 2 December 2026.</w:t>
      </w:r>
    </w:p>
    <w:p>
      <w:pPr>
        <w:spacing w:after="100" w:line="269"/>
      </w:pPr>
      <w:r>
        <w:rPr>
          <w:rFonts w:ascii="Calibri" w:cs="Calibri" w:eastAsia="Calibri" w:hAnsi="Calibri"/>
          <w:sz w:val="21"/>
          <w:szCs w:val="21"/>
        </w:rPr>
        <w:t xml:space="preserve">Providers must design the chatbot so users are informed they are interacting with AI, unless that is obvious (Art. 50(1)); the information must be clear and given at the latest at first interaction (Art. 50(5)). Providers of systems generating synthetic text must mark outputs machine-readably (Art. 50(2)). Systems already on the market before 2 August 2026 get until 2 December 2026 for Art. 50(2) only ([Reg. 2026/1744](https://eur-lex.europa.eu/legal-content/EN/TXT/?uri=CELEX:32026R1744) adds Art. 111(4)). No such grace period exists for Art. 50(1).</w:t>
      </w:r>
    </w:p>
    <w:p>
      <w:pPr>
        <w:pStyle w:val="Heading1"/>
      </w:pPr>
      <w:r>
        <w:t xml:space="preserve">What changed</w:t>
      </w:r>
    </w:p>
    <w:p>
      <w:pPr>
        <w:pStyle w:val="ListParagraph"/>
        <w:numPr>
          <w:ilvl w:val="0"/>
          <w:numId w:val="2"/>
        </w:numPr>
        <w:spacing w:after="60" w:line="264"/>
      </w:pPr>
      <w:r>
        <w:rPr>
          <w:rFonts w:ascii="Calibri" w:cs="Calibri" w:eastAsia="Calibri" w:hAnsi="Calibri"/>
          <w:b/>
          <w:bCs/>
          <w:sz w:val="21"/>
          <w:szCs w:val="21"/>
        </w:rPr>
        <w:t xml:space="preserve">Article 50 now applies.</w:t>
      </w:r>
      <w:r>
        <w:rPr>
          <w:rFonts w:ascii="Calibri" w:cs="Calibri" w:eastAsia="Calibri" w:hAnsi="Calibri"/>
          <w:sz w:val="21"/>
          <w:szCs w:val="21"/>
        </w:rPr>
        <w:t xml:space="preserve"> The AI Act applies from 2 August 2026 unless a provision says otherwise; Article 113 sets no later date for Chapter IV ([Reg. 2024/1689, Art. 113](https://eur-lex.europa.eu/legal-content/EN/TXT/HTML/?uri=OJ:L_202401689)).</w:t>
      </w:r>
    </w:p>
    <w:p>
      <w:pPr>
        <w:pStyle w:val="ListParagraph"/>
        <w:numPr>
          <w:ilvl w:val="0"/>
          <w:numId w:val="2"/>
        </w:numPr>
        <w:spacing w:after="60" w:line="264"/>
      </w:pPr>
      <w:r>
        <w:rPr>
          <w:rFonts w:ascii="Calibri" w:cs="Calibri" w:eastAsia="Calibri" w:hAnsi="Calibri"/>
          <w:b/>
          <w:bCs/>
          <w:sz w:val="21"/>
          <w:szCs w:val="21"/>
        </w:rPr>
        <w:t xml:space="preserve">Digital Omnibus on AI</w:t>
      </w:r>
      <w:r>
        <w:rPr>
          <w:rFonts w:ascii="Calibri" w:cs="Calibri" w:eastAsia="Calibri" w:hAnsi="Calibri"/>
          <w:sz w:val="21"/>
          <w:szCs w:val="21"/>
        </w:rPr>
        <w:t xml:space="preserve"> (Reg. (EU) 2026/1744, OJ 24.7.2026) added a new paragraph: providers of generative systems, including text, placed on the market before 2 August 2026 must take the necessary steps to comply with Art. 50(2) by 2 December 2026 ([EUR-Lex](https://eur-lex.europa.eu/legal-content/EN/TXT/?uri=CELEX:32026R1744)). Law-firm commentary reads this as leaving the chatbot-disclosure duty on the original date ([Cooley, 3 Aug 2026](https://cdp.cooley.com/digital-ai-omnibus-delays-key-deadlines-introduces-new-rules/); secondary).</w:t>
      </w:r>
    </w:p>
    <w:p>
      <w:pPr>
        <w:pStyle w:val="ListParagraph"/>
        <w:numPr>
          <w:ilvl w:val="0"/>
          <w:numId w:val="2"/>
        </w:numPr>
        <w:spacing w:after="60" w:line="264"/>
      </w:pPr>
      <w:r>
        <w:rPr>
          <w:rFonts w:ascii="Calibri" w:cs="Calibri" w:eastAsia="Calibri" w:hAnsi="Calibri"/>
          <w:b/>
          <w:bCs/>
          <w:sz w:val="21"/>
          <w:szCs w:val="21"/>
        </w:rPr>
        <w:t xml:space="preserve">Commission guidelines on Article 50</w:t>
      </w:r>
      <w:r>
        <w:rPr>
          <w:rFonts w:ascii="Calibri" w:cs="Calibri" w:eastAsia="Calibri" w:hAnsi="Calibri"/>
          <w:sz w:val="21"/>
          <w:szCs w:val="21"/>
        </w:rPr>
        <w:t xml:space="preserve"> (C(2026) 5054, 20 July 2026) say helpdesk-style chatbots that users may perceive as human do not qualify for the “obvious” exception, and recommend a first-turn greeting plus a persistent label. The guidelines are non-binding ([Commission guidelines](https://ai-act-service-desk.ec.europa.eu/sites/default/files/2026-07/guidelines_on_the_implementation_of_the_transparency_obligations_for_certain_ai_systems_under_article_50_of_the_ai_act_bzptwqhk0ikg1dtlddap41psfy_131215.pdf)).</w:t>
      </w:r>
    </w:p>
    <w:p>
      <w:pPr>
        <w:pStyle w:val="ListParagraph"/>
        <w:numPr>
          <w:ilvl w:val="0"/>
          <w:numId w:val="2"/>
        </w:numPr>
        <w:spacing w:after="60" w:line="264"/>
      </w:pPr>
      <w:r>
        <w:rPr>
          <w:rFonts w:ascii="Calibri" w:cs="Calibri" w:eastAsia="Calibri" w:hAnsi="Calibri"/>
          <w:b/>
          <w:bCs/>
          <w:sz w:val="21"/>
          <w:szCs w:val="21"/>
        </w:rPr>
        <w:t xml:space="preserve">Code of Practice on Transparency of AI-generated Content</w:t>
      </w:r>
      <w:r>
        <w:rPr>
          <w:rFonts w:ascii="Calibri" w:cs="Calibri" w:eastAsia="Calibri" w:hAnsi="Calibri"/>
          <w:sz w:val="21"/>
          <w:szCs w:val="21"/>
        </w:rPr>
        <w:t xml:space="preserve"> published after the 10 June 2026 closing plenary; the Commission and AI Board confirmed it as an adequate voluntary compliance tool. It is voluntary; Article 50 duties are legal obligations ([Commission page](https://digital-strategy.ec.europa.eu/en/policies/code-practice-ai-generated-content)).</w:t>
      </w:r>
    </w:p>
    <w:p>
      <w:pPr>
        <w:pStyle w:val="ListParagraph"/>
        <w:numPr>
          <w:ilvl w:val="0"/>
          <w:numId w:val="2"/>
        </w:numPr>
        <w:spacing w:after="60" w:line="264"/>
      </w:pPr>
      <w:r>
        <w:rPr>
          <w:rFonts w:ascii="Calibri" w:cs="Calibri" w:eastAsia="Calibri" w:hAnsi="Calibri"/>
          <w:b/>
          <w:bCs/>
          <w:sz w:val="21"/>
          <w:szCs w:val="21"/>
        </w:rPr>
        <w:t xml:space="preserve">Higher-risk fintech uses are a separate track.</w:t>
      </w:r>
      <w:r>
        <w:rPr>
          <w:rFonts w:ascii="Calibri" w:cs="Calibri" w:eastAsia="Calibri" w:hAnsi="Calibri"/>
          <w:sz w:val="21"/>
          <w:szCs w:val="21"/>
        </w:rPr>
        <w:t xml:space="preserve"> Omnibus commentary reports Annex III high-risk duties (which include credit scoring) deferred to 2 December 2027. That does not affect Article 50 ([Gibson Dunn, 27 May 2026](https://www.gibsondunn.com/eu-ai-act-omnibus-agreement-postponed-high-risk-deadlines-and-other-key-changes/); [Cooley](https://cdp.cooley.com/digital-ai-omnibus-delays-key-deadlines-introduces-new-rules/); secondary).</w:t>
      </w:r>
    </w:p>
    <w:p>
      <w:pPr>
        <w:pStyle w:val="Heading1"/>
      </w:pPr>
      <w:r>
        <w:t xml:space="preserve">Obligations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00"/>
        <w:gridCol w:w="1500"/>
        <w:gridCol w:w="1500"/>
        <w:gridCol w:w="1700"/>
        <w:gridCol w:w="2880"/>
      </w:tblGrid>
      <w:tr>
        <w:trPr>
          <w:tblHeader/>
        </w:trPr>
        <w:tc>
          <w:tcPr>
            <w:tcW w:type="dxa" w:w="2500"/>
            <w:tcBorders>
              <w:top w:val="single" w:color="BFC5CC" w:sz="4"/>
              <w:left w:val="single" w:color="BFC5CC" w:sz="4"/>
              <w:bottom w:val="single" w:color="BFC5CC" w:sz="4"/>
              <w:right w:val="single" w:color="BFC5CC" w:sz="4"/>
            </w:tcBorders>
            <w:shd w:fill="1F3A5F"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Obligation</w:t>
            </w:r>
          </w:p>
        </w:tc>
        <w:tc>
          <w:tcPr>
            <w:tcW w:type="dxa" w:w="1500"/>
            <w:tcBorders>
              <w:top w:val="single" w:color="BFC5CC" w:sz="4"/>
              <w:left w:val="single" w:color="BFC5CC" w:sz="4"/>
              <w:bottom w:val="single" w:color="BFC5CC" w:sz="4"/>
              <w:right w:val="single" w:color="BFC5CC" w:sz="4"/>
            </w:tcBorders>
            <w:shd w:fill="1F3A5F"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Citation</w:t>
            </w:r>
          </w:p>
        </w:tc>
        <w:tc>
          <w:tcPr>
            <w:tcW w:type="dxa" w:w="1500"/>
            <w:tcBorders>
              <w:top w:val="single" w:color="BFC5CC" w:sz="4"/>
              <w:left w:val="single" w:color="BFC5CC" w:sz="4"/>
              <w:bottom w:val="single" w:color="BFC5CC" w:sz="4"/>
              <w:right w:val="single" w:color="BFC5CC" w:sz="4"/>
            </w:tcBorders>
            <w:shd w:fill="1F3A5F"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Applies to</w:t>
            </w:r>
          </w:p>
        </w:tc>
        <w:tc>
          <w:tcPr>
            <w:tcW w:type="dxa" w:w="1700"/>
            <w:tcBorders>
              <w:top w:val="single" w:color="BFC5CC" w:sz="4"/>
              <w:left w:val="single" w:color="BFC5CC" w:sz="4"/>
              <w:bottom w:val="single" w:color="BFC5CC" w:sz="4"/>
              <w:right w:val="single" w:color="BFC5CC" w:sz="4"/>
            </w:tcBorders>
            <w:shd w:fill="1F3A5F"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Deadline</w:t>
            </w:r>
          </w:p>
        </w:tc>
        <w:tc>
          <w:tcPr>
            <w:tcW w:type="dxa" w:w="2880"/>
            <w:tcBorders>
              <w:top w:val="single" w:color="BFC5CC" w:sz="4"/>
              <w:left w:val="single" w:color="BFC5CC" w:sz="4"/>
              <w:bottom w:val="single" w:color="BFC5CC" w:sz="4"/>
              <w:right w:val="single" w:color="BFC5CC" w:sz="4"/>
            </w:tcBorders>
            <w:shd w:fill="1F3A5F"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Status</w:t>
            </w:r>
          </w:p>
        </w:tc>
      </w:tr>
      <w:tr>
        <w:trPr>
          <w:cantSplit/>
        </w:trPr>
        <w:tc>
          <w:tcPr>
            <w:tcW w:type="dxa" w:w="25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Design the chatbot so users are told they are talking to AI, unless obvious to a reasonably well-informed, observant, circumspect person</w:t>
            </w:r>
          </w:p>
        </w:tc>
        <w:tc>
          <w:tcPr>
            <w:tcW w:type="dxa" w:w="15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Art. 50(1)</w:t>
            </w:r>
          </w:p>
        </w:tc>
        <w:tc>
          <w:tcPr>
            <w:tcW w:type="dxa" w:w="15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Provider (your company). Deployers: see Open questions</w:t>
            </w:r>
          </w:p>
        </w:tc>
        <w:tc>
          <w:tcPr>
            <w:tcW w:type="dxa" w:w="17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2 Aug 2026</w:t>
            </w:r>
          </w:p>
        </w:tc>
        <w:tc>
          <w:tcPr>
            <w:tcW w:type="dxa" w:w="288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In force. Guidelines treat helpdesk chatbots as not “obvious” (Interpretation)</w:t>
            </w:r>
          </w:p>
        </w:tc>
      </w:tr>
      <w:tr>
        <w:trPr>
          <w:cantSplit/>
        </w:trPr>
        <w:tc>
          <w:tcPr>
            <w:tcW w:type="dxa" w:w="25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Mark chatbot text outputs in a machine-readable, detectable format; solutions effective, interoperable, robust, reliable so far as technically feasible</w:t>
            </w:r>
          </w:p>
        </w:tc>
        <w:tc>
          <w:tcPr>
            <w:tcW w:type="dxa" w:w="15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Art. 50(2)</w:t>
            </w:r>
          </w:p>
        </w:tc>
        <w:tc>
          <w:tcPr>
            <w:tcW w:type="dxa" w:w="15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Provider</w:t>
            </w:r>
          </w:p>
        </w:tc>
        <w:tc>
          <w:tcPr>
            <w:tcW w:type="dxa" w:w="17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2 Dec 2026 for systems on the market before 2 Aug 2026; otherwise 2 Aug 2026</w:t>
            </w:r>
          </w:p>
        </w:tc>
        <w:tc>
          <w:tcPr>
            <w:tcW w:type="dxa" w:w="288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Not yet applicable to your existing system (Art. 111(4) as added by Reg. 2026/1744). Exceptions: assistive editing; no substantial alteration of input</w:t>
            </w:r>
          </w:p>
        </w:tc>
      </w:tr>
      <w:tr>
        <w:trPr>
          <w:cantSplit/>
        </w:trPr>
        <w:tc>
          <w:tcPr>
            <w:tcW w:type="dxa" w:w="25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Give the disclosure clearly and distinguishably, at the latest at first interaction, in an accessible way</w:t>
            </w:r>
          </w:p>
        </w:tc>
        <w:tc>
          <w:tcPr>
            <w:tcW w:type="dxa" w:w="15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Art. 50(5)</w:t>
            </w:r>
          </w:p>
        </w:tc>
        <w:tc>
          <w:tcPr>
            <w:tcW w:type="dxa" w:w="15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Provider (for 50(1) and 50(2) information)</w:t>
            </w:r>
          </w:p>
        </w:tc>
        <w:tc>
          <w:tcPr>
            <w:tcW w:type="dxa" w:w="17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2 Aug 2026</w:t>
            </w:r>
          </w:p>
        </w:tc>
        <w:tc>
          <w:tcPr>
            <w:tcW w:type="dxa" w:w="288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In force</w:t>
            </w:r>
          </w:p>
        </w:tc>
      </w:tr>
      <w:tr>
        <w:trPr>
          <w:cantSplit/>
        </w:trPr>
        <w:tc>
          <w:tcPr>
            <w:tcW w:type="dxa" w:w="25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Disclose AI-generated text published to inform the public on matters of public interest, unless human-reviewed under editorial responsibility</w:t>
            </w:r>
          </w:p>
        </w:tc>
        <w:tc>
          <w:tcPr>
            <w:tcW w:type="dxa" w:w="15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Art. 50(4), 2nd subpara</w:t>
            </w:r>
          </w:p>
        </w:tc>
        <w:tc>
          <w:tcPr>
            <w:tcW w:type="dxa" w:w="15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Deployer (fintech customer) if it publishes chatbot text this way</w:t>
            </w:r>
          </w:p>
        </w:tc>
        <w:tc>
          <w:tcPr>
            <w:tcW w:type="dxa" w:w="17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2 Aug 2026</w:t>
            </w:r>
          </w:p>
        </w:tc>
        <w:tc>
          <w:tcPr>
            <w:tcW w:type="dxa" w:w="288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In force. Guidelines say a chatbot answer shown only to the user who asked is not in scope (Interpretation)</w:t>
            </w:r>
          </w:p>
        </w:tc>
      </w:tr>
      <w:tr>
        <w:trPr>
          <w:cantSplit/>
        </w:trPr>
        <w:tc>
          <w:tcPr>
            <w:tcW w:type="dxa" w:w="25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Emotion-recognition or biometric-categorisation notice to exposed people</w:t>
            </w:r>
          </w:p>
        </w:tc>
        <w:tc>
          <w:tcPr>
            <w:tcW w:type="dxa" w:w="15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Art. 50(3)</w:t>
            </w:r>
          </w:p>
        </w:tc>
        <w:tc>
          <w:tcPr>
            <w:tcW w:type="dxa" w:w="15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Deployer, only if the chatbot does this</w:t>
            </w:r>
          </w:p>
        </w:tc>
        <w:tc>
          <w:tcPr>
            <w:tcW w:type="dxa" w:w="17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2 Aug 2026</w:t>
            </w:r>
          </w:p>
        </w:tc>
        <w:tc>
          <w:tcPr>
            <w:tcW w:type="dxa" w:w="288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In force. Not triggered by a standard text chatbot (inferred)</w:t>
            </w:r>
          </w:p>
        </w:tc>
      </w:tr>
      <w:tr>
        <w:trPr>
          <w:cantSplit/>
        </w:trPr>
        <w:tc>
          <w:tcPr>
            <w:tcW w:type="dxa" w:w="25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Article 50 does not displace high-risk rules or other EU/national transparency duties</w:t>
            </w:r>
          </w:p>
        </w:tc>
        <w:tc>
          <w:tcPr>
            <w:tcW w:type="dxa" w:w="15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Art. 50(6)</w:t>
            </w:r>
          </w:p>
        </w:tc>
        <w:tc>
          <w:tcPr>
            <w:tcW w:type="dxa" w:w="15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Provider and deployer</w:t>
            </w:r>
          </w:p>
        </w:tc>
        <w:tc>
          <w:tcPr>
            <w:tcW w:type="dxa" w:w="17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Ongoing</w:t>
            </w:r>
          </w:p>
        </w:tc>
        <w:tc>
          <w:tcPr>
            <w:tcW w:type="dxa" w:w="288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In force. Guidelines point to consumer-law information duties (UCPD, Consumer Rights Directive)</w:t>
            </w:r>
          </w:p>
        </w:tc>
      </w:tr>
      <w:tr>
        <w:trPr>
          <w:cantSplit/>
        </w:trPr>
        <w:tc>
          <w:tcPr>
            <w:tcW w:type="dxa" w:w="25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Exposure to fines up to EUR 15,000,000 or 3% of worldwide annual turnover, whichever is higher (lower of the two for SMEs)</w:t>
            </w:r>
          </w:p>
        </w:tc>
        <w:tc>
          <w:tcPr>
            <w:tcW w:type="dxa" w:w="15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Art. 99(4)(g), 99(6)</w:t>
            </w:r>
          </w:p>
        </w:tc>
        <w:tc>
          <w:tcPr>
            <w:tcW w:type="dxa" w:w="15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Provider and deployer</w:t>
            </w:r>
          </w:p>
        </w:tc>
        <w:tc>
          <w:tcPr>
            <w:tcW w:type="dxa" w:w="17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From 2 Aug 2026</w:t>
            </w:r>
          </w:p>
        </w:tc>
        <w:tc>
          <w:tcPr>
            <w:tcW w:type="dxa" w:w="288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In force as enacted; we did not check whether the Omnibus changed Art. 99</w:t>
            </w:r>
          </w:p>
        </w:tc>
      </w:tr>
    </w:tbl>
    <w:p>
      <w:pPr>
        <w:spacing w:after="60"/>
      </w:pPr>
    </w:p>
    <w:p>
      <w:pPr>
        <w:pStyle w:val="Heading1"/>
      </w:pPr>
      <w:r>
        <w:t xml:space="preserve">Affected areas and documents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600"/>
        <w:gridCol w:w="2800"/>
        <w:gridCol w:w="4680"/>
      </w:tblGrid>
      <w:tr>
        <w:trPr>
          <w:tblHeader/>
        </w:trPr>
        <w:tc>
          <w:tcPr>
            <w:tcW w:type="dxa" w:w="2600"/>
            <w:tcBorders>
              <w:top w:val="single" w:color="BFC5CC" w:sz="4"/>
              <w:left w:val="single" w:color="BFC5CC" w:sz="4"/>
              <w:bottom w:val="single" w:color="BFC5CC" w:sz="4"/>
              <w:right w:val="single" w:color="BFC5CC" w:sz="4"/>
            </w:tcBorders>
            <w:shd w:fill="1F3A5F"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Area / document</w:t>
            </w:r>
          </w:p>
        </w:tc>
        <w:tc>
          <w:tcPr>
            <w:tcW w:type="dxa" w:w="2800"/>
            <w:tcBorders>
              <w:top w:val="single" w:color="BFC5CC" w:sz="4"/>
              <w:left w:val="single" w:color="BFC5CC" w:sz="4"/>
              <w:bottom w:val="single" w:color="BFC5CC" w:sz="4"/>
              <w:right w:val="single" w:color="BFC5CC" w:sz="4"/>
            </w:tcBorders>
            <w:shd w:fill="1F3A5F"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Obligation it touches</w:t>
            </w:r>
          </w:p>
        </w:tc>
        <w:tc>
          <w:tcPr>
            <w:tcW w:type="dxa" w:w="4680"/>
            <w:tcBorders>
              <w:top w:val="single" w:color="BFC5CC" w:sz="4"/>
              <w:left w:val="single" w:color="BFC5CC" w:sz="4"/>
              <w:bottom w:val="single" w:color="BFC5CC" w:sz="4"/>
              <w:right w:val="single" w:color="BFC5CC" w:sz="4"/>
            </w:tcBorders>
            <w:shd w:fill="1F3A5F"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Why</w:t>
            </w:r>
          </w:p>
        </w:tc>
      </w:tr>
      <w:tr>
        <w:trPr>
          <w:cantSplit/>
        </w:trPr>
        <w:tc>
          <w:tcPr>
            <w:tcW w:type="dxa" w:w="26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Chatbot UI and conversation flow</w:t>
            </w:r>
          </w:p>
        </w:tc>
        <w:tc>
          <w:tcPr>
            <w:tcW w:type="dxa" w:w="28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Art. 50(1), 50(5)</w:t>
            </w:r>
          </w:p>
        </w:tc>
        <w:tc>
          <w:tcPr>
            <w:tcW w:type="dxa" w:w="468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Greeting, banner and persistent label must exist in the product itself, not only in legal text.</w:t>
            </w:r>
          </w:p>
        </w:tc>
      </w:tr>
      <w:tr>
        <w:trPr>
          <w:cantSplit/>
        </w:trPr>
        <w:tc>
          <w:tcPr>
            <w:tcW w:type="dxa" w:w="26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Chatbot output pipeline (text API, exports, transcripts)</w:t>
            </w:r>
          </w:p>
        </w:tc>
        <w:tc>
          <w:tcPr>
            <w:tcW w:type="dxa" w:w="28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Art. 50(2)</w:t>
            </w:r>
          </w:p>
        </w:tc>
        <w:tc>
          <w:tcPr>
            <w:tcW w:type="dxa" w:w="468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Machine-readable marking must be built in and detectable by 2 Dec 2026.</w:t>
            </w:r>
          </w:p>
        </w:tc>
      </w:tr>
      <w:tr>
        <w:trPr>
          <w:cantSplit/>
        </w:trPr>
        <w:tc>
          <w:tcPr>
            <w:tcW w:type="dxa" w:w="26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AI Disclosure SOP</w:t>
            </w:r>
          </w:p>
        </w:tc>
        <w:tc>
          <w:tcPr>
            <w:tcW w:type="dxa" w:w="28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50(1), 50(2), 50(5)</w:t>
            </w:r>
          </w:p>
        </w:tc>
        <w:tc>
          <w:tcPr>
            <w:tcW w:type="dxa" w:w="468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Operational home for the disclosure and marking controls; needs owners, tests and evidence.</w:t>
            </w:r>
          </w:p>
        </w:tc>
      </w:tr>
      <w:tr>
        <w:trPr>
          <w:cantSplit/>
        </w:trPr>
        <w:tc>
          <w:tcPr>
            <w:tcW w:type="dxa" w:w="26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Terms of Service</w:t>
            </w:r>
          </w:p>
        </w:tc>
        <w:tc>
          <w:tcPr>
            <w:tcW w:type="dxa" w:w="28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50(1), 50(6)</w:t>
            </w:r>
          </w:p>
        </w:tc>
        <w:tc>
          <w:tcPr>
            <w:tcW w:type="dxa" w:w="468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Customer-facing allocation of roles; AI functionality may need disclosure as a main service characteristic under consumer law (Guidelines).</w:t>
            </w:r>
          </w:p>
        </w:tc>
      </w:tr>
      <w:tr>
        <w:trPr>
          <w:cantSplit/>
        </w:trPr>
        <w:tc>
          <w:tcPr>
            <w:tcW w:type="dxa" w:w="26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Acceptable Use Policy</w:t>
            </w:r>
          </w:p>
        </w:tc>
        <w:tc>
          <w:tcPr>
            <w:tcW w:type="dxa" w:w="28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50(2), 50(4)</w:t>
            </w:r>
          </w:p>
        </w:tc>
        <w:tc>
          <w:tcPr>
            <w:tcW w:type="dxa" w:w="468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Stops customers stripping labels or markers, or passing off chatbot text as human-written.</w:t>
            </w:r>
          </w:p>
        </w:tc>
      </w:tr>
      <w:tr>
        <w:trPr>
          <w:cantSplit/>
        </w:trPr>
        <w:tc>
          <w:tcPr>
            <w:tcW w:type="dxa" w:w="26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Privacy Notice</w:t>
            </w:r>
          </w:p>
        </w:tc>
        <w:tc>
          <w:tcPr>
            <w:tcW w:type="dxa" w:w="28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50(6)</w:t>
            </w:r>
          </w:p>
        </w:tc>
        <w:tc>
          <w:tcPr>
            <w:tcW w:type="dxa" w:w="468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Must stay consistent with the disclosure; GDPR duties apply separately.</w:t>
            </w:r>
          </w:p>
        </w:tc>
      </w:tr>
    </w:tbl>
    <w:p>
      <w:pPr>
        <w:spacing w:after="60"/>
      </w:pPr>
    </w:p>
    <w:p>
      <w:pPr>
        <w:pStyle w:val="Heading1"/>
      </w:pPr>
      <w:r>
        <w:t xml:space="preserve">Gaps (all inferred; document text not provided)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000"/>
        <w:gridCol w:w="5880"/>
        <w:gridCol w:w="2200"/>
      </w:tblGrid>
      <w:tr>
        <w:trPr>
          <w:tblHeader/>
        </w:trPr>
        <w:tc>
          <w:tcPr>
            <w:tcW w:type="dxa" w:w="2000"/>
            <w:tcBorders>
              <w:top w:val="single" w:color="BFC5CC" w:sz="4"/>
              <w:left w:val="single" w:color="BFC5CC" w:sz="4"/>
              <w:bottom w:val="single" w:color="BFC5CC" w:sz="4"/>
              <w:right w:val="single" w:color="BFC5CC" w:sz="4"/>
            </w:tcBorders>
            <w:shd w:fill="1F3A5F"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Document</w:t>
            </w:r>
          </w:p>
        </w:tc>
        <w:tc>
          <w:tcPr>
            <w:tcW w:type="dxa" w:w="5880"/>
            <w:tcBorders>
              <w:top w:val="single" w:color="BFC5CC" w:sz="4"/>
              <w:left w:val="single" w:color="BFC5CC" w:sz="4"/>
              <w:bottom w:val="single" w:color="BFC5CC" w:sz="4"/>
              <w:right w:val="single" w:color="BFC5CC" w:sz="4"/>
            </w:tcBorders>
            <w:shd w:fill="1F3A5F"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Likely gap</w:t>
            </w:r>
          </w:p>
        </w:tc>
        <w:tc>
          <w:tcPr>
            <w:tcW w:type="dxa" w:w="2200"/>
            <w:tcBorders>
              <w:top w:val="single" w:color="BFC5CC" w:sz="4"/>
              <w:left w:val="single" w:color="BFC5CC" w:sz="4"/>
              <w:bottom w:val="single" w:color="BFC5CC" w:sz="4"/>
              <w:right w:val="single" w:color="BFC5CC" w:sz="4"/>
            </w:tcBorders>
            <w:shd w:fill="1F3A5F"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Basis</w:t>
            </w:r>
          </w:p>
        </w:tc>
      </w:tr>
      <w:tr>
        <w:trPr>
          <w:cantSplit/>
        </w:trPr>
        <w:tc>
          <w:tcPr>
            <w:tcW w:type="dxa" w:w="20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AI Disclosure SOP</w:t>
            </w:r>
          </w:p>
        </w:tc>
        <w:tc>
          <w:tcPr>
            <w:tcW w:type="dxa" w:w="588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No step requiring an AI notice at first interaction and persistent label; no procedure or testing for machine-readable marking of text output; no evidence log. Likely written before the guidelines and Code.</w:t>
            </w:r>
          </w:p>
        </w:tc>
        <w:tc>
          <w:tcPr>
            <w:tcW w:type="dxa" w:w="22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Inferred from Art. 50(1), (2), (5)</w:t>
            </w:r>
          </w:p>
        </w:tc>
      </w:tr>
      <w:tr>
        <w:trPr>
          <w:cantSplit/>
        </w:trPr>
        <w:tc>
          <w:tcPr>
            <w:tcW w:type="dxa" w:w="20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Terms of Service</w:t>
            </w:r>
          </w:p>
        </w:tc>
        <w:tc>
          <w:tcPr>
            <w:tcW w:type="dxa" w:w="588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No clause allocating Article 50 roles between you (provider) and the fintech customer (deployer); no ban on removing the disclosure; no statement that the service is AI-driven.</w:t>
            </w:r>
          </w:p>
        </w:tc>
        <w:tc>
          <w:tcPr>
            <w:tcW w:type="dxa" w:w="22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Inferred from Art. 50(1), 50(6); Guidelines</w:t>
            </w:r>
          </w:p>
        </w:tc>
      </w:tr>
      <w:tr>
        <w:trPr>
          <w:cantSplit/>
        </w:trPr>
        <w:tc>
          <w:tcPr>
            <w:tcW w:type="dxa" w:w="20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Acceptable Use Policy</w:t>
            </w:r>
          </w:p>
        </w:tc>
        <w:tc>
          <w:tcPr>
            <w:tcW w:type="dxa" w:w="588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No prohibition on disabling disclosures or markers, on presenting output as human, or on publishing output on public-interest matters without review or labelling.</w:t>
            </w:r>
          </w:p>
        </w:tc>
        <w:tc>
          <w:tcPr>
            <w:tcW w:type="dxa" w:w="22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Inferred from Art. 50(2), 50(4)</w:t>
            </w:r>
          </w:p>
        </w:tc>
      </w:tr>
      <w:tr>
        <w:trPr>
          <w:cantSplit/>
        </w:trPr>
        <w:tc>
          <w:tcPr>
            <w:tcW w:type="dxa" w:w="20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Privacy Notice</w:t>
            </w:r>
          </w:p>
        </w:tc>
        <w:tc>
          <w:tcPr>
            <w:tcW w:type="dxa" w:w="588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No cross-reference to the AI interaction; may not reflect that conversations are processed by an AI system. Likely low-risk but check consistency.</w:t>
            </w:r>
          </w:p>
        </w:tc>
        <w:tc>
          <w:tcPr>
            <w:tcW w:type="dxa" w:w="22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Inferred from Art. 50(6)</w:t>
            </w:r>
          </w:p>
        </w:tc>
      </w:tr>
    </w:tbl>
    <w:p>
      <w:pPr>
        <w:spacing w:after="60"/>
      </w:pPr>
    </w:p>
    <w:p>
      <w:pPr>
        <w:pStyle w:val="Heading1"/>
      </w:pPr>
      <w:r>
        <w:t xml:space="preserve">Actions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600"/>
        <w:gridCol w:w="1800"/>
        <w:gridCol w:w="1000"/>
        <w:gridCol w:w="2680"/>
      </w:tblGrid>
      <w:tr>
        <w:trPr>
          <w:tblHeader/>
        </w:trPr>
        <w:tc>
          <w:tcPr>
            <w:tcW w:type="dxa" w:w="4600"/>
            <w:tcBorders>
              <w:top w:val="single" w:color="BFC5CC" w:sz="4"/>
              <w:left w:val="single" w:color="BFC5CC" w:sz="4"/>
              <w:bottom w:val="single" w:color="BFC5CC" w:sz="4"/>
              <w:right w:val="single" w:color="BFC5CC" w:sz="4"/>
            </w:tcBorders>
            <w:shd w:fill="1F3A5F"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Action</w:t>
            </w:r>
          </w:p>
        </w:tc>
        <w:tc>
          <w:tcPr>
            <w:tcW w:type="dxa" w:w="1800"/>
            <w:tcBorders>
              <w:top w:val="single" w:color="BFC5CC" w:sz="4"/>
              <w:left w:val="single" w:color="BFC5CC" w:sz="4"/>
              <w:bottom w:val="single" w:color="BFC5CC" w:sz="4"/>
              <w:right w:val="single" w:color="BFC5CC" w:sz="4"/>
            </w:tcBorders>
            <w:shd w:fill="1F3A5F"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Owner</w:t>
            </w:r>
          </w:p>
        </w:tc>
        <w:tc>
          <w:tcPr>
            <w:tcW w:type="dxa" w:w="1000"/>
            <w:tcBorders>
              <w:top w:val="single" w:color="BFC5CC" w:sz="4"/>
              <w:left w:val="single" w:color="BFC5CC" w:sz="4"/>
              <w:bottom w:val="single" w:color="BFC5CC" w:sz="4"/>
              <w:right w:val="single" w:color="BFC5CC" w:sz="4"/>
            </w:tcBorders>
            <w:shd w:fill="1F3A5F"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Priority</w:t>
            </w:r>
          </w:p>
        </w:tc>
        <w:tc>
          <w:tcPr>
            <w:tcW w:type="dxa" w:w="2680"/>
            <w:tcBorders>
              <w:top w:val="single" w:color="BFC5CC" w:sz="4"/>
              <w:left w:val="single" w:color="BFC5CC" w:sz="4"/>
              <w:bottom w:val="single" w:color="BFC5CC" w:sz="4"/>
              <w:right w:val="single" w:color="BFC5CC" w:sz="4"/>
            </w:tcBorders>
            <w:shd w:fill="1F3A5F" w:val="clear"/>
            <w:tcMar>
              <w:top w:type="dxa" w:w="60"/>
              <w:left w:type="dxa" w:w="90"/>
              <w:bottom w:type="dxa" w:w="60"/>
              <w:right w:type="dxa" w:w="90"/>
            </w:tcMar>
          </w:tcPr>
          <w:p>
            <w:pPr>
              <w:spacing w:after="20"/>
            </w:pPr>
            <w:r>
              <w:rPr>
                <w:rFonts w:ascii="Calibri" w:cs="Calibri" w:eastAsia="Calibri" w:hAnsi="Calibri"/>
                <w:b/>
                <w:bCs/>
                <w:color w:val="FFFFFF"/>
                <w:sz w:val="19"/>
                <w:szCs w:val="19"/>
              </w:rPr>
              <w:t xml:space="preserve">Due date</w:t>
            </w:r>
          </w:p>
        </w:tc>
      </w:tr>
      <w:tr>
        <w:trPr>
          <w:cantSplit/>
        </w:trPr>
        <w:tc>
          <w:tcPr>
            <w:tcW w:type="dxa" w:w="46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Confirm in the live product that every chatbot session opens with a plain-language AI notice and shows a persistent label; fix any channel (voice, email, widget) that lacks it</w:t>
            </w:r>
          </w:p>
        </w:tc>
        <w:tc>
          <w:tcPr>
            <w:tcW w:type="dxa" w:w="18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Product Engineering</w:t>
            </w:r>
          </w:p>
        </w:tc>
        <w:tc>
          <w:tcPr>
            <w:tcW w:type="dxa" w:w="10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High</w:t>
            </w:r>
          </w:p>
        </w:tc>
        <w:tc>
          <w:tcPr>
            <w:tcW w:type="dxa" w:w="268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Immediately (Art. 50(1) applies since 2 Aug 2026)</w:t>
            </w:r>
          </w:p>
        </w:tc>
      </w:tr>
      <w:tr>
        <w:trPr>
          <w:cantSplit/>
        </w:trPr>
        <w:tc>
          <w:tcPr>
            <w:tcW w:type="dxa" w:w="46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Confirm provider/deployer roles per customer, including any white-label or modified deployments</w:t>
            </w:r>
          </w:p>
        </w:tc>
        <w:tc>
          <w:tcPr>
            <w:tcW w:type="dxa" w:w="18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Legal Counsel</w:t>
            </w:r>
          </w:p>
        </w:tc>
        <w:tc>
          <w:tcPr>
            <w:tcW w:type="dxa" w:w="10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High</w:t>
            </w:r>
          </w:p>
        </w:tc>
        <w:tc>
          <w:tcPr>
            <w:tcW w:type="dxa" w:w="268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Immediately</w:t>
            </w:r>
          </w:p>
        </w:tc>
      </w:tr>
      <w:tr>
        <w:trPr>
          <w:cantSplit/>
        </w:trPr>
        <w:tc>
          <w:tcPr>
            <w:tcW w:type="dxa" w:w="46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Design, build and test machine-readable marking for text outputs; decide whether to sign the Code of Practice</w:t>
            </w:r>
          </w:p>
        </w:tc>
        <w:tc>
          <w:tcPr>
            <w:tcW w:type="dxa" w:w="18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Product Engineering; Compliance Team</w:t>
            </w:r>
          </w:p>
        </w:tc>
        <w:tc>
          <w:tcPr>
            <w:tcW w:type="dxa" w:w="10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High</w:t>
            </w:r>
          </w:p>
        </w:tc>
        <w:tc>
          <w:tcPr>
            <w:tcW w:type="dxa" w:w="268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Before 2 Dec 2026</w:t>
            </w:r>
          </w:p>
        </w:tc>
      </w:tr>
      <w:tr>
        <w:trPr>
          <w:cantSplit/>
        </w:trPr>
        <w:tc>
          <w:tcPr>
            <w:tcW w:type="dxa" w:w="46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Update the AI Disclosure SOP with owners, tests and evidence retention</w:t>
            </w:r>
          </w:p>
        </w:tc>
        <w:tc>
          <w:tcPr>
            <w:tcW w:type="dxa" w:w="18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Compliance Team</w:t>
            </w:r>
          </w:p>
        </w:tc>
        <w:tc>
          <w:tcPr>
            <w:tcW w:type="dxa" w:w="10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High</w:t>
            </w:r>
          </w:p>
        </w:tc>
        <w:tc>
          <w:tcPr>
            <w:tcW w:type="dxa" w:w="268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Before 2 Dec 2026</w:t>
            </w:r>
          </w:p>
        </w:tc>
      </w:tr>
      <w:tr>
        <w:trPr>
          <w:cantSplit/>
        </w:trPr>
        <w:tc>
          <w:tcPr>
            <w:tcW w:type="dxa" w:w="46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Amend Terms of Service and Acceptable Use Policy; review Privacy Notice for consistency</w:t>
            </w:r>
          </w:p>
        </w:tc>
        <w:tc>
          <w:tcPr>
            <w:tcW w:type="dxa" w:w="18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Legal Counsel</w:t>
            </w:r>
          </w:p>
        </w:tc>
        <w:tc>
          <w:tcPr>
            <w:tcW w:type="dxa" w:w="100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Medium</w:t>
            </w:r>
          </w:p>
        </w:tc>
        <w:tc>
          <w:tcPr>
            <w:tcW w:type="dxa" w:w="2680"/>
            <w:tcBorders>
              <w:top w:val="single" w:color="BFC5CC" w:sz="4"/>
              <w:left w:val="single" w:color="BFC5CC" w:sz="4"/>
              <w:bottom w:val="single" w:color="BFC5CC" w:sz="4"/>
              <w:right w:val="single" w:color="BFC5CC" w:sz="4"/>
            </w:tcBorders>
            <w:tcMar>
              <w:top w:type="dxa" w:w="60"/>
              <w:left w:type="dxa" w:w="90"/>
              <w:bottom w:type="dxa" w:w="60"/>
              <w:right w:type="dxa" w:w="90"/>
            </w:tcMar>
          </w:tcPr>
          <w:p>
            <w:pPr>
              <w:spacing w:after="20"/>
            </w:pPr>
            <w:r>
              <w:rPr>
                <w:rFonts w:ascii="Calibri" w:cs="Calibri" w:eastAsia="Calibri" w:hAnsi="Calibri"/>
                <w:sz w:val="21"/>
                <w:szCs w:val="21"/>
              </w:rPr>
              <w:t xml:space="preserve">Before 2 Dec 2026</w:t>
            </w:r>
          </w:p>
        </w:tc>
      </w:tr>
      <w:tr>
        <w:trPr>
          <w:cantSplit/>
        </w:trPr>
        <w:tc>
          <w:tcPr>
            <w:tcW w:type="dxa" w:w="46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Send customers a notice on disclosure settings they must not disable and on public-interest publication rules</w:t>
            </w:r>
          </w:p>
        </w:tc>
        <w:tc>
          <w:tcPr>
            <w:tcW w:type="dxa" w:w="18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Customer Success</w:t>
            </w:r>
          </w:p>
        </w:tc>
        <w:tc>
          <w:tcPr>
            <w:tcW w:type="dxa" w:w="100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Medium</w:t>
            </w:r>
          </w:p>
        </w:tc>
        <w:tc>
          <w:tcPr>
            <w:tcW w:type="dxa" w:w="2680"/>
            <w:tcBorders>
              <w:top w:val="single" w:color="BFC5CC" w:sz="4"/>
              <w:left w:val="single" w:color="BFC5CC" w:sz="4"/>
              <w:bottom w:val="single" w:color="BFC5CC" w:sz="4"/>
              <w:right w:val="single" w:color="BFC5CC" w:sz="4"/>
            </w:tcBorders>
            <w:shd w:fill="F3F6F9" w:val="clear"/>
            <w:tcMar>
              <w:top w:type="dxa" w:w="60"/>
              <w:left w:type="dxa" w:w="90"/>
              <w:bottom w:type="dxa" w:w="60"/>
              <w:right w:type="dxa" w:w="90"/>
            </w:tcMar>
          </w:tcPr>
          <w:p>
            <w:pPr>
              <w:spacing w:after="20"/>
            </w:pPr>
            <w:r>
              <w:rPr>
                <w:rFonts w:ascii="Calibri" w:cs="Calibri" w:eastAsia="Calibri" w:hAnsi="Calibri"/>
                <w:sz w:val="21"/>
                <w:szCs w:val="21"/>
              </w:rPr>
              <w:t xml:space="preserve">Before 2 Dec 2026</w:t>
            </w:r>
          </w:p>
        </w:tc>
      </w:tr>
    </w:tbl>
    <w:p>
      <w:pPr>
        <w:spacing w:after="60"/>
      </w:pPr>
    </w:p>
    <w:p>
      <w:pPr>
        <w:pStyle w:val="Heading1"/>
      </w:pPr>
      <w:r>
        <w:t xml:space="preserve">Draft edits (for review by qualified counsel)</w:t>
      </w:r>
    </w:p>
    <w:p>
      <w:pPr>
        <w:pStyle w:val="Heading2"/>
      </w:pPr>
      <w:r>
        <w:t xml:space="preserve">AI Disclosure SOP</w:t>
      </w:r>
    </w:p>
    <w:p>
      <w:pPr>
        <w:spacing w:after="100" w:line="269"/>
      </w:pPr>
      <w:r>
        <w:rPr>
          <w:rFonts w:ascii="Calibri" w:cs="Calibri" w:eastAsia="Calibri" w:hAnsi="Calibri"/>
          <w:b/>
          <w:bCs/>
          <w:sz w:val="21"/>
          <w:szCs w:val="21"/>
        </w:rPr>
        <w:t xml:space="preserve">Current:</w:t>
      </w:r>
      <w:r>
        <w:rPr>
          <w:rFonts w:ascii="Calibri" w:cs="Calibri" w:eastAsia="Calibri" w:hAnsi="Calibri"/>
          <w:sz w:val="21"/>
          <w:szCs w:val="21"/>
        </w:rPr>
        <w:t xml:space="preserve"> not provided.</w:t>
      </w:r>
    </w:p>
    <w:p>
      <w:pPr>
        <w:spacing w:after="100" w:line="269"/>
      </w:pPr>
      <w:r>
        <w:rPr>
          <w:rFonts w:ascii="Calibri" w:cs="Calibri" w:eastAsia="Calibri" w:hAnsi="Calibri"/>
          <w:b/>
          <w:bCs/>
          <w:sz w:val="21"/>
          <w:szCs w:val="21"/>
        </w:rPr>
        <w:t xml:space="preserve">Proposed:</w:t>
      </w:r>
      <w:r>
        <w:rPr>
          <w:rFonts w:ascii="Calibri" w:cs="Calibri" w:eastAsia="Calibri" w:hAnsi="Calibri"/>
          <w:sz w:val="21"/>
          <w:szCs w:val="21"/>
        </w:rPr>
        <w:t xml:space="preserve"> “Every conversation with the Chatbot must begin with the message ‘You are chatting with an AI assistant, not a person’ and must display a persistent ‘AI’ label next to the input field. Product Engineering must verify this on every release and keep test records. Text outputs generated by the Chatbot must carry a machine-readable marker that allows detection as AI-generated, in line with Art. 50(1), 50(2) and 50(5) of Regulation (EU) 2024/1689. The disclosure must be accessible to users with disabilities.”</w:t>
      </w:r>
    </w:p>
    <w:p>
      <w:pPr>
        <w:pStyle w:val="Heading2"/>
      </w:pPr>
      <w:r>
        <w:t xml:space="preserve">Terms of Service</w:t>
      </w:r>
    </w:p>
    <w:p>
      <w:pPr>
        <w:spacing w:after="100" w:line="269"/>
      </w:pPr>
      <w:r>
        <w:rPr>
          <w:rFonts w:ascii="Calibri" w:cs="Calibri" w:eastAsia="Calibri" w:hAnsi="Calibri"/>
          <w:b/>
          <w:bCs/>
          <w:sz w:val="21"/>
          <w:szCs w:val="21"/>
        </w:rPr>
        <w:t xml:space="preserve">Current:</w:t>
      </w:r>
      <w:r>
        <w:rPr>
          <w:rFonts w:ascii="Calibri" w:cs="Calibri" w:eastAsia="Calibri" w:hAnsi="Calibri"/>
          <w:sz w:val="21"/>
          <w:szCs w:val="21"/>
        </w:rPr>
        <w:t xml:space="preserve"> not provided.</w:t>
      </w:r>
    </w:p>
    <w:p>
      <w:pPr>
        <w:spacing w:after="100" w:line="269"/>
      </w:pPr>
      <w:r>
        <w:rPr>
          <w:rFonts w:ascii="Calibri" w:cs="Calibri" w:eastAsia="Calibri" w:hAnsi="Calibri"/>
          <w:b/>
          <w:bCs/>
          <w:sz w:val="21"/>
          <w:szCs w:val="21"/>
        </w:rPr>
        <w:t xml:space="preserve">Proposed:</w:t>
      </w:r>
      <w:r>
        <w:rPr>
          <w:rFonts w:ascii="Calibri" w:cs="Calibri" w:eastAsia="Calibri" w:hAnsi="Calibri"/>
          <w:sz w:val="21"/>
          <w:szCs w:val="21"/>
        </w:rPr>
        <w:t xml:space="preserve"> “The Chatbot is an AI system. We, as provider, build into it the notice required by Art. 50(1) and 50(5) of Regulation (EU) 2024/1689 and the marking required by Art. 50(2). Customer must not remove, hide or alter these features. If Customer publishes Chatbot-generated text to inform the public on matters of public interest, Customer is responsible for the disclosure or human editorial review required by Art. 50(4). If Customer modifies the Chatbot or offers it under its own name, the parties will agree in writing who acts as provider.”</w:t>
      </w:r>
    </w:p>
    <w:p>
      <w:pPr>
        <w:pStyle w:val="Heading2"/>
      </w:pPr>
      <w:r>
        <w:t xml:space="preserve">Acceptable Use Policy</w:t>
      </w:r>
    </w:p>
    <w:p>
      <w:pPr>
        <w:spacing w:after="100" w:line="269"/>
      </w:pPr>
      <w:r>
        <w:rPr>
          <w:rFonts w:ascii="Calibri" w:cs="Calibri" w:eastAsia="Calibri" w:hAnsi="Calibri"/>
          <w:b/>
          <w:bCs/>
          <w:sz w:val="21"/>
          <w:szCs w:val="21"/>
        </w:rPr>
        <w:t xml:space="preserve">Current:</w:t>
      </w:r>
      <w:r>
        <w:rPr>
          <w:rFonts w:ascii="Calibri" w:cs="Calibri" w:eastAsia="Calibri" w:hAnsi="Calibri"/>
          <w:sz w:val="21"/>
          <w:szCs w:val="21"/>
        </w:rPr>
        <w:t xml:space="preserve"> not provided.</w:t>
      </w:r>
    </w:p>
    <w:p>
      <w:pPr>
        <w:spacing w:after="100" w:line="269"/>
      </w:pPr>
      <w:r>
        <w:rPr>
          <w:rFonts w:ascii="Calibri" w:cs="Calibri" w:eastAsia="Calibri" w:hAnsi="Calibri"/>
          <w:b/>
          <w:bCs/>
          <w:sz w:val="21"/>
          <w:szCs w:val="21"/>
        </w:rPr>
        <w:t xml:space="preserve">Proposed:</w:t>
      </w:r>
      <w:r>
        <w:rPr>
          <w:rFonts w:ascii="Calibri" w:cs="Calibri" w:eastAsia="Calibri" w:hAnsi="Calibri"/>
          <w:sz w:val="21"/>
          <w:szCs w:val="21"/>
        </w:rPr>
        <w:t xml:space="preserve"> “You must not (a) disable, obscure or remove any AI disclosure or machine-readable marker; (b) present Chatbot output as written by a human; or (c) publish Chatbot-generated text on matters of public interest without the disclosure or human editorial review required by Art. 50(4) of Regulation (EU) 2024/1689.”</w:t>
      </w:r>
    </w:p>
    <w:p>
      <w:pPr>
        <w:pStyle w:val="Heading2"/>
      </w:pPr>
      <w:r>
        <w:t xml:space="preserve">Privacy Notice</w:t>
      </w:r>
    </w:p>
    <w:p>
      <w:pPr>
        <w:spacing w:after="100" w:line="269"/>
      </w:pPr>
      <w:r>
        <w:rPr>
          <w:rFonts w:ascii="Calibri" w:cs="Calibri" w:eastAsia="Calibri" w:hAnsi="Calibri"/>
          <w:b/>
          <w:bCs/>
          <w:sz w:val="21"/>
          <w:szCs w:val="21"/>
        </w:rPr>
        <w:t xml:space="preserve">Current:</w:t>
      </w:r>
      <w:r>
        <w:rPr>
          <w:rFonts w:ascii="Calibri" w:cs="Calibri" w:eastAsia="Calibri" w:hAnsi="Calibri"/>
          <w:sz w:val="21"/>
          <w:szCs w:val="21"/>
        </w:rPr>
        <w:t xml:space="preserve"> not provided.</w:t>
      </w:r>
    </w:p>
    <w:p>
      <w:pPr>
        <w:spacing w:after="100" w:line="269"/>
      </w:pPr>
      <w:r>
        <w:rPr>
          <w:rFonts w:ascii="Calibri" w:cs="Calibri" w:eastAsia="Calibri" w:hAnsi="Calibri"/>
          <w:b/>
          <w:bCs/>
          <w:sz w:val="21"/>
          <w:szCs w:val="21"/>
        </w:rPr>
        <w:t xml:space="preserve">Proposed:</w:t>
      </w:r>
      <w:r>
        <w:rPr>
          <w:rFonts w:ascii="Calibri" w:cs="Calibri" w:eastAsia="Calibri" w:hAnsi="Calibri"/>
          <w:sz w:val="21"/>
          <w:szCs w:val="21"/>
        </w:rPr>
        <w:t xml:space="preserve"> “Our support assistant is an AI system. Conversations with it are processed as described in this notice. We tell you at the start of each conversation that you are interacting with AI (Art. 50(1) and (5) of Regulation (EU) 2024/1689). This does not replace the information we owe you under data protection law.”</w:t>
      </w:r>
    </w:p>
    <w:p>
      <w:pPr>
        <w:pStyle w:val="Heading1"/>
      </w:pPr>
      <w:r>
        <w:t xml:space="preserve">Open questions</w:t>
      </w:r>
    </w:p>
    <w:p>
      <w:pPr>
        <w:pStyle w:val="ListParagraph"/>
        <w:numPr>
          <w:ilvl w:val="0"/>
          <w:numId w:val="2"/>
        </w:numPr>
        <w:spacing w:after="60" w:line="264"/>
      </w:pPr>
      <w:r>
        <w:rPr>
          <w:rFonts w:ascii="Calibri" w:cs="Calibri" w:eastAsia="Calibri" w:hAnsi="Calibri"/>
          <w:b/>
          <w:bCs/>
          <w:sz w:val="21"/>
          <w:szCs w:val="21"/>
        </w:rPr>
        <w:t xml:space="preserve">Who owes the Art. 50(1) notice in practice?</w:t>
      </w:r>
      <w:r>
        <w:rPr>
          <w:rFonts w:ascii="Calibri" w:cs="Calibri" w:eastAsia="Calibri" w:hAnsi="Calibri"/>
          <w:sz w:val="21"/>
          <w:szCs w:val="21"/>
        </w:rPr>
        <w:t xml:space="preserve"> The text puts the design duty on providers. The Commission guidelines say providers must inform users regardless of who the deployers are, and that a company that modifies a system and puts it into service under its own name or trademark becomes a provider of the new system ([Guidelines](https://ai-act-service-desk.ec.europa.eu/sites/default/files/2026-07/guidelines_on_the_implementation_of_the_transparency_obligations_for_certain_ai_systems_under_article_50_of_the_ai_act_bzptwqhk0ikg1dtlddap41psfy_131215.pdf)). Confirm each customer’s setup.</w:t>
      </w:r>
    </w:p>
    <w:p>
      <w:pPr>
        <w:pStyle w:val="ListParagraph"/>
        <w:numPr>
          <w:ilvl w:val="0"/>
          <w:numId w:val="2"/>
        </w:numPr>
        <w:spacing w:after="60" w:line="264"/>
      </w:pPr>
      <w:r>
        <w:rPr>
          <w:rFonts w:ascii="Calibri" w:cs="Calibri" w:eastAsia="Calibri" w:hAnsi="Calibri"/>
          <w:b/>
          <w:bCs/>
          <w:sz w:val="21"/>
          <w:szCs w:val="21"/>
        </w:rPr>
        <w:t xml:space="preserve">“Obvious from context”:</w:t>
      </w:r>
      <w:r>
        <w:rPr>
          <w:rFonts w:ascii="Calibri" w:cs="Calibri" w:eastAsia="Calibri" w:hAnsi="Calibri"/>
          <w:sz w:val="21"/>
          <w:szCs w:val="21"/>
        </w:rPr>
        <w:t xml:space="preserve"> the guidelines say professional-only code assistants may qualify, but helpdesk chatbots perceived as human may not. A chatbot used by fintech retail customers is unlikely to qualify (Interpretation; non-binding).</w:t>
      </w:r>
    </w:p>
    <w:p>
      <w:pPr>
        <w:pStyle w:val="ListParagraph"/>
        <w:numPr>
          <w:ilvl w:val="0"/>
          <w:numId w:val="2"/>
        </w:numPr>
        <w:spacing w:after="60" w:line="264"/>
      </w:pPr>
      <w:r>
        <w:rPr>
          <w:rFonts w:ascii="Calibri" w:cs="Calibri" w:eastAsia="Calibri" w:hAnsi="Calibri"/>
          <w:b/>
          <w:bCs/>
          <w:sz w:val="21"/>
          <w:szCs w:val="21"/>
        </w:rPr>
        <w:t xml:space="preserve">Marking short chat text:</w:t>
      </w:r>
      <w:r>
        <w:rPr>
          <w:rFonts w:ascii="Calibri" w:cs="Calibri" w:eastAsia="Calibri" w:hAnsi="Calibri"/>
          <w:sz w:val="21"/>
          <w:szCs w:val="21"/>
        </w:rPr>
        <w:t xml:space="preserve"> Art. 50(2) covers “text content”, and the guidelines confirm it covers general-purpose and agentic systems producing text. Practical methods for short chat replies, and which detection standards will apply, remain unsettled; the guidelines allow provider-specific interoperable detection tools for a limited time until standards emerge ([Guidelines](https://ai-act-service-desk.ec.europa.eu/sites/default/files/2026-07/guidelines_on_the_implementation_of_the_transparency_obligations_for_certain_ai_systems_under_article_50_of_the_ai_act_bzptwqhk0ikg1dtlddap41psfy_131215.pdf)).</w:t>
      </w:r>
    </w:p>
    <w:p>
      <w:pPr>
        <w:pStyle w:val="ListParagraph"/>
        <w:numPr>
          <w:ilvl w:val="0"/>
          <w:numId w:val="2"/>
        </w:numPr>
        <w:spacing w:after="60" w:line="264"/>
      </w:pPr>
      <w:r>
        <w:rPr>
          <w:rFonts w:ascii="Calibri" w:cs="Calibri" w:eastAsia="Calibri" w:hAnsi="Calibri"/>
          <w:b/>
          <w:bCs/>
          <w:sz w:val="21"/>
          <w:szCs w:val="21"/>
        </w:rPr>
        <w:t xml:space="preserve">Does the Omnibus grace period cover your system?</w:t>
      </w:r>
      <w:r>
        <w:rPr>
          <w:rFonts w:ascii="Calibri" w:cs="Calibri" w:eastAsia="Calibri" w:hAnsi="Calibri"/>
          <w:sz w:val="21"/>
          <w:szCs w:val="21"/>
        </w:rPr>
        <w:t xml:space="preserve"> It covers systems “placed on the market before 2 August 2026”. If you release a materially new chatbot product after that date, expect the 2 August 2026 date to apply (inferred).</w:t>
      </w:r>
    </w:p>
    <w:p>
      <w:pPr>
        <w:pStyle w:val="ListParagraph"/>
        <w:numPr>
          <w:ilvl w:val="0"/>
          <w:numId w:val="2"/>
        </w:numPr>
        <w:spacing w:after="60" w:line="264"/>
      </w:pPr>
      <w:r>
        <w:rPr>
          <w:rFonts w:ascii="Calibri" w:cs="Calibri" w:eastAsia="Calibri" w:hAnsi="Calibri"/>
          <w:b/>
          <w:bCs/>
          <w:sz w:val="21"/>
          <w:szCs w:val="21"/>
        </w:rPr>
        <w:t xml:space="preserve">Near misses:</w:t>
      </w:r>
      <w:r>
        <w:rPr>
          <w:rFonts w:ascii="Calibri" w:cs="Calibri" w:eastAsia="Calibri" w:hAnsi="Calibri"/>
          <w:sz w:val="21"/>
          <w:szCs w:val="21"/>
        </w:rPr>
        <w:t xml:space="preserve"> Art. 50(3) (emotion recognition) and Art. 50(4) (deepfakes, public-interest text) rarely apply to a support chatbot. If the chatbot supports credit scoring or similar uses, separate high-risk rules apply from 2 December 2027, per secondary commentary. We did not review GDPR transparency duties in detail.</w:t>
      </w:r>
    </w:p>
    <w:p>
      <w:pPr>
        <w:pStyle w:val="Heading1"/>
      </w:pPr>
      <w:r>
        <w:t xml:space="preserve">Do next</w:t>
      </w:r>
    </w:p>
    <w:p>
      <w:pPr>
        <w:pStyle w:val="ListParagraph"/>
        <w:numPr>
          <w:ilvl w:val="0"/>
          <w:numId w:val="3"/>
        </w:numPr>
        <w:spacing w:after="60" w:line="264"/>
      </w:pPr>
      <w:r>
        <w:rPr>
          <w:rFonts w:ascii="Calibri" w:cs="Calibri" w:eastAsia="Calibri" w:hAnsi="Calibri"/>
          <w:sz w:val="21"/>
          <w:szCs w:val="21"/>
        </w:rPr>
        <w:t xml:space="preserve">Test your live chatbot today for an AI notice at first interaction and a persistent label.</w:t>
      </w:r>
    </w:p>
    <w:p>
      <w:pPr>
        <w:pStyle w:val="ListParagraph"/>
        <w:numPr>
          <w:ilvl w:val="0"/>
          <w:numId w:val="3"/>
        </w:numPr>
        <w:spacing w:after="60" w:line="264"/>
      </w:pPr>
      <w:r>
        <w:rPr>
          <w:rFonts w:ascii="Calibri" w:cs="Calibri" w:eastAsia="Calibri" w:hAnsi="Calibri"/>
          <w:sz w:val="21"/>
          <w:szCs w:val="21"/>
        </w:rPr>
        <w:t xml:space="preserve">Map each EU customer as deployer, or as provider if white-labelled or modified.</w:t>
      </w:r>
    </w:p>
    <w:p>
      <w:pPr>
        <w:pStyle w:val="ListParagraph"/>
        <w:numPr>
          <w:ilvl w:val="0"/>
          <w:numId w:val="3"/>
        </w:numPr>
        <w:spacing w:after="60" w:line="264"/>
      </w:pPr>
      <w:r>
        <w:rPr>
          <w:rFonts w:ascii="Calibri" w:cs="Calibri" w:eastAsia="Calibri" w:hAnsi="Calibri"/>
          <w:sz w:val="21"/>
          <w:szCs w:val="21"/>
        </w:rPr>
        <w:t xml:space="preserve">Scope the text-marking build and decide on the Code of Practice before 2 December 2026.</w:t>
      </w:r>
    </w:p>
    <w:p>
      <w:pPr>
        <w:pStyle w:val="ListParagraph"/>
        <w:numPr>
          <w:ilvl w:val="0"/>
          <w:numId w:val="3"/>
        </w:numPr>
        <w:spacing w:after="60" w:line="264"/>
      </w:pPr>
      <w:r>
        <w:rPr>
          <w:rFonts w:ascii="Calibri" w:cs="Calibri" w:eastAsia="Calibri" w:hAnsi="Calibri"/>
          <w:sz w:val="21"/>
          <w:szCs w:val="21"/>
        </w:rPr>
        <w:t xml:space="preserve">Send the Disclosure SOP, Terms, AUP and Privacy Notice to counsel with the draft edits above.</w:t>
      </w:r>
    </w:p>
    <w:p>
      <w:pPr>
        <w:pStyle w:val="ListParagraph"/>
        <w:numPr>
          <w:ilvl w:val="0"/>
          <w:numId w:val="3"/>
        </w:numPr>
        <w:spacing w:after="60" w:line="264"/>
      </w:pPr>
      <w:r>
        <w:rPr>
          <w:rFonts w:ascii="Calibri" w:cs="Calibri" w:eastAsia="Calibri" w:hAnsi="Calibri"/>
          <w:sz w:val="21"/>
          <w:szCs w:val="21"/>
        </w:rPr>
        <w:t xml:space="preserve">Brief customers on features they must not disable.</w:t>
      </w:r>
    </w:p>
    <w:p>
      <w:pPr>
        <w:pStyle w:val="Heading1"/>
      </w:pPr>
      <w:r>
        <w:t xml:space="preserve">Coverage note</w:t>
      </w:r>
    </w:p>
    <w:p>
      <w:pPr>
        <w:spacing w:after="100" w:line="269"/>
      </w:pPr>
      <w:r>
        <w:rPr>
          <w:rFonts w:ascii="Calibri" w:cs="Calibri" w:eastAsia="Calibri" w:hAnsi="Calibri"/>
          <w:sz w:val="21"/>
          <w:szCs w:val="21"/>
        </w:rPr>
        <w:t xml:space="preserve">Primary sources were reached: the AI Act (EUR-Lex), the Omnibus Regulation (EUR-Lex) and the Commission guidelines (PDF). The Commission code of practice itself and its assessment opinion were not opened; we relied on the Commission’s web page about them. The Omnibus page on EUR-Lex was read for the relevant provisions only. GDPR and consumer-law texts were not reviewed. This is research for the reader to confirm with qualified counsel; it is not legal advice.</w:t>
      </w:r>
    </w:p>
    <w:p>
      <w:pPr>
        <w:pStyle w:val="Heading1"/>
      </w:pPr>
      <w:r>
        <w:t xml:space="preserve">Sources</w:t>
      </w:r>
    </w:p>
    <w:p>
      <w:pPr>
        <w:pStyle w:val="ListParagraph"/>
        <w:numPr>
          <w:ilvl w:val="0"/>
          <w:numId w:val="2"/>
        </w:numPr>
        <w:spacing w:after="50"/>
      </w:pPr>
      <w:r>
        <w:rPr>
          <w:rFonts w:ascii="Calibri" w:cs="Calibri" w:eastAsia="Calibri" w:hAnsi="Calibri"/>
          <w:b/>
          <w:bCs/>
          <w:sz w:val="20"/>
          <w:szCs w:val="20"/>
        </w:rPr>
        <w:t xml:space="preserve">[Primary] </w:t>
      </w:r>
      <w:hyperlink w:history="1" r:id="rIdpvkdo_fyugs6pmavspsvr">
        <w:r>
          <w:rPr>
            <w:rStyle w:val="Hyperlink"/>
            <w:rFonts w:ascii="Calibri" w:cs="Calibri" w:eastAsia="Calibri" w:hAnsi="Calibri"/>
            <w:color w:val="1155CC"/>
            <w:sz w:val="20"/>
            <w:szCs w:val="20"/>
            <w:u w:val="single"/>
          </w:rPr>
          <w:t xml:space="preserve">Regulation (EU) 2024/1689, Official Journal text (Art. 50, 99, 113)</w:t>
        </w:r>
      </w:hyperlink>
      <w:r>
        <w:rPr>
          <w:rFonts w:ascii="Calibri" w:cs="Calibri" w:eastAsia="Calibri" w:hAnsi="Calibri"/>
          <w:sz w:val="20"/>
          <w:szCs w:val="20"/>
        </w:rPr>
        <w:t xml:space="preserve"> (accessed 5 Oct 2026)</w:t>
      </w:r>
    </w:p>
    <w:p>
      <w:pPr>
        <w:pStyle w:val="ListParagraph"/>
        <w:numPr>
          <w:ilvl w:val="0"/>
          <w:numId w:val="2"/>
        </w:numPr>
        <w:spacing w:after="50"/>
      </w:pPr>
      <w:r>
        <w:rPr>
          <w:rFonts w:ascii="Calibri" w:cs="Calibri" w:eastAsia="Calibri" w:hAnsi="Calibri"/>
          <w:b/>
          <w:bCs/>
          <w:sz w:val="20"/>
          <w:szCs w:val="20"/>
        </w:rPr>
        <w:t xml:space="preserve">[Primary] </w:t>
      </w:r>
      <w:hyperlink w:history="1" r:id="rIdxpvth7_gmrxvsyivjk6my">
        <w:r>
          <w:rPr>
            <w:rStyle w:val="Hyperlink"/>
            <w:rFonts w:ascii="Calibri" w:cs="Calibri" w:eastAsia="Calibri" w:hAnsi="Calibri"/>
            <w:color w:val="1155CC"/>
            <w:sz w:val="20"/>
            <w:szCs w:val="20"/>
            <w:u w:val="single"/>
          </w:rPr>
          <w:t xml:space="preserve">Regulation (EU) 2026/1744, Digital Omnibus on AI, OJ 24.7.2026</w:t>
        </w:r>
      </w:hyperlink>
      <w:r>
        <w:rPr>
          <w:rFonts w:ascii="Calibri" w:cs="Calibri" w:eastAsia="Calibri" w:hAnsi="Calibri"/>
          <w:sz w:val="20"/>
          <w:szCs w:val="20"/>
        </w:rPr>
        <w:t xml:space="preserve"> (accessed 5 Oct 2026)</w:t>
      </w:r>
    </w:p>
    <w:p>
      <w:pPr>
        <w:pStyle w:val="ListParagraph"/>
        <w:numPr>
          <w:ilvl w:val="0"/>
          <w:numId w:val="2"/>
        </w:numPr>
        <w:spacing w:after="50"/>
      </w:pPr>
      <w:r>
        <w:rPr>
          <w:rFonts w:ascii="Calibri" w:cs="Calibri" w:eastAsia="Calibri" w:hAnsi="Calibri"/>
          <w:b/>
          <w:bCs/>
          <w:sz w:val="20"/>
          <w:szCs w:val="20"/>
        </w:rPr>
        <w:t xml:space="preserve">[Primary, non-binding] </w:t>
      </w:r>
      <w:hyperlink w:history="1" r:id="rIdu8ynmgjkvbg0dj1v0sdux">
        <w:r>
          <w:rPr>
            <w:rStyle w:val="Hyperlink"/>
            <w:rFonts w:ascii="Calibri" w:cs="Calibri" w:eastAsia="Calibri" w:hAnsi="Calibri"/>
            <w:color w:val="1155CC"/>
            <w:sz w:val="20"/>
            <w:szCs w:val="20"/>
            <w:u w:val="single"/>
          </w:rPr>
          <w:t xml:space="preserve">Commission Guidelines on Article 50, C(2026) 5054, 20 July 2026</w:t>
        </w:r>
      </w:hyperlink>
      <w:r>
        <w:rPr>
          <w:rFonts w:ascii="Calibri" w:cs="Calibri" w:eastAsia="Calibri" w:hAnsi="Calibri"/>
          <w:sz w:val="20"/>
          <w:szCs w:val="20"/>
        </w:rPr>
        <w:t xml:space="preserve"> (accessed 5 Oct 2026)</w:t>
      </w:r>
    </w:p>
    <w:p>
      <w:pPr>
        <w:pStyle w:val="ListParagraph"/>
        <w:numPr>
          <w:ilvl w:val="0"/>
          <w:numId w:val="2"/>
        </w:numPr>
        <w:spacing w:after="50"/>
      </w:pPr>
      <w:r>
        <w:rPr>
          <w:rFonts w:ascii="Calibri" w:cs="Calibri" w:eastAsia="Calibri" w:hAnsi="Calibri"/>
          <w:b/>
          <w:bCs/>
          <w:sz w:val="20"/>
          <w:szCs w:val="20"/>
        </w:rPr>
        <w:t xml:space="preserve">[Primary, regulator page] </w:t>
      </w:r>
      <w:hyperlink w:history="1" r:id="rIdwz4v0aoi9wbhd6seilc4y">
        <w:r>
          <w:rPr>
            <w:rStyle w:val="Hyperlink"/>
            <w:rFonts w:ascii="Calibri" w:cs="Calibri" w:eastAsia="Calibri" w:hAnsi="Calibri"/>
            <w:color w:val="1155CC"/>
            <w:sz w:val="20"/>
            <w:szCs w:val="20"/>
            <w:u w:val="single"/>
          </w:rPr>
          <w:t xml:space="preserve">Code of Practice on Transparency of AI-generated Content</w:t>
        </w:r>
      </w:hyperlink>
      <w:r>
        <w:rPr>
          <w:rFonts w:ascii="Calibri" w:cs="Calibri" w:eastAsia="Calibri" w:hAnsi="Calibri"/>
          <w:sz w:val="20"/>
          <w:szCs w:val="20"/>
        </w:rPr>
        <w:t xml:space="preserve"> (last updated 31 Jul 2026; accessed 5 Oct 2026)</w:t>
      </w:r>
    </w:p>
    <w:p>
      <w:pPr>
        <w:pStyle w:val="ListParagraph"/>
        <w:numPr>
          <w:ilvl w:val="0"/>
          <w:numId w:val="2"/>
        </w:numPr>
        <w:spacing w:after="50"/>
      </w:pPr>
      <w:r>
        <w:rPr>
          <w:rFonts w:ascii="Calibri" w:cs="Calibri" w:eastAsia="Calibri" w:hAnsi="Calibri"/>
          <w:b/>
          <w:bCs/>
          <w:sz w:val="20"/>
          <w:szCs w:val="20"/>
        </w:rPr>
        <w:t xml:space="preserve">[Secondary] </w:t>
      </w:r>
      <w:hyperlink w:history="1" r:id="rIdbzcsf6jxlk6hzxbebuuyk">
        <w:r>
          <w:rPr>
            <w:rStyle w:val="Hyperlink"/>
            <w:rFonts w:ascii="Calibri" w:cs="Calibri" w:eastAsia="Calibri" w:hAnsi="Calibri"/>
            <w:color w:val="1155CC"/>
            <w:sz w:val="20"/>
            <w:szCs w:val="20"/>
            <w:u w:val="single"/>
          </w:rPr>
          <w:t xml:space="preserve">Cooley: Digital AI Omnibus Delays Key Deadlines</w:t>
        </w:r>
      </w:hyperlink>
      <w:r>
        <w:rPr>
          <w:rFonts w:ascii="Calibri" w:cs="Calibri" w:eastAsia="Calibri" w:hAnsi="Calibri"/>
          <w:sz w:val="20"/>
          <w:szCs w:val="20"/>
        </w:rPr>
        <w:t xml:space="preserve"> (3 Aug 2026)</w:t>
      </w:r>
    </w:p>
    <w:p>
      <w:pPr>
        <w:pStyle w:val="ListParagraph"/>
        <w:numPr>
          <w:ilvl w:val="0"/>
          <w:numId w:val="2"/>
        </w:numPr>
        <w:spacing w:after="50"/>
      </w:pPr>
      <w:r>
        <w:rPr>
          <w:rFonts w:ascii="Calibri" w:cs="Calibri" w:eastAsia="Calibri" w:hAnsi="Calibri"/>
          <w:b/>
          <w:bCs/>
          <w:sz w:val="20"/>
          <w:szCs w:val="20"/>
        </w:rPr>
        <w:t xml:space="preserve">[Secondary] </w:t>
      </w:r>
      <w:hyperlink w:history="1" r:id="rIdl8w9ric_0owr4xqzt7xgl">
        <w:r>
          <w:rPr>
            <w:rStyle w:val="Hyperlink"/>
            <w:rFonts w:ascii="Calibri" w:cs="Calibri" w:eastAsia="Calibri" w:hAnsi="Calibri"/>
            <w:color w:val="1155CC"/>
            <w:sz w:val="20"/>
            <w:szCs w:val="20"/>
            <w:u w:val="single"/>
          </w:rPr>
          <w:t xml:space="preserve">Gibson Dunn: EU AI Act Omnibus Agreement</w:t>
        </w:r>
      </w:hyperlink>
      <w:r>
        <w:rPr>
          <w:rFonts w:ascii="Calibri" w:cs="Calibri" w:eastAsia="Calibri" w:hAnsi="Calibri"/>
          <w:sz w:val="20"/>
          <w:szCs w:val="20"/>
        </w:rPr>
        <w:t xml:space="preserve"> (27 May 2026; written before final adoption)</w:t>
      </w:r>
    </w:p>
    <w:sectPr>
      <w:headerReference w:type="default" r:id="rId7"/>
      <w:footerReference w:type="default" r:id="rId8"/>
      <w:pgSz w:w="12240" w:h="15840" w:orient="portrait"/>
      <w:pgMar w:top="1000" w:right="1080" w:bottom="10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Research, not legal advice. Page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888888"/>
        <w:sz w:val="16"/>
        <w:szCs w:val="16"/>
      </w:rPr>
      <w:t xml:space="preserve">EU AI Act Article 50 | Client alert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00" w:before="280"/>
    </w:pPr>
    <w:rPr>
      <w:rFonts w:ascii="Arial" w:cs="Arial" w:eastAsia="Arial" w:hAnsi="Arial"/>
      <w:b/>
      <w:bCs/>
      <w:color w:val="1F3A5F"/>
      <w:sz w:val="28"/>
      <w:szCs w:val="28"/>
    </w:rPr>
  </w:style>
  <w:style w:type="paragraph" w:styleId="Heading2">
    <w:name w:val="Heading 2"/>
    <w:basedOn w:val="Normal"/>
    <w:next w:val="Normal"/>
    <w:qFormat/>
    <w:pPr>
      <w:spacing w:after="60" w:before="160"/>
    </w:pPr>
    <w:rPr>
      <w:rFonts w:ascii="Arial" w:cs="Arial" w:eastAsia="Arial" w:hAnsi="Arial"/>
      <w:b/>
      <w:bCs/>
      <w:color w:val="333333"/>
      <w:sz w:val="23"/>
      <w:szCs w:val="23"/>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pvkdo_fyugs6pmavspsvr" Type="http://schemas.openxmlformats.org/officeDocument/2006/relationships/hyperlink" Target="https://eur-lex.europa.eu/legal-content/EN/TXT/HTML/?uri=OJ:L_202401689" TargetMode="External"/><Relationship Id="rIdxpvth7_gmrxvsyivjk6my" Type="http://schemas.openxmlformats.org/officeDocument/2006/relationships/hyperlink" Target="https://eur-lex.europa.eu/legal-content/EN/TXT/?uri=CELEX:32026R1744" TargetMode="External"/><Relationship Id="rIdu8ynmgjkvbg0dj1v0sdux" Type="http://schemas.openxmlformats.org/officeDocument/2006/relationships/hyperlink" Target="https://ai-act-service-desk.ec.europa.eu/sites/default/files/2026-07/guidelines_on_the_implementation_of_the_transparency_obligations_for_certain_ai_systems_under_article_50_of_the_ai_act_bzptwqhk0ikg1dtlddap41psfy_131215.pdf" TargetMode="External"/><Relationship Id="rIdwz4v0aoi9wbhd6seilc4y" Type="http://schemas.openxmlformats.org/officeDocument/2006/relationships/hyperlink" Target="https://digital-strategy.ec.europa.eu/en/policies/code-practice-ai-generated-content" TargetMode="External"/><Relationship Id="rIdbzcsf6jxlk6hzxbebuuyk" Type="http://schemas.openxmlformats.org/officeDocument/2006/relationships/hyperlink" Target="https://cdp.cooley.com/digital-ai-omnibus-delays-key-deadlines-introduces-new-rules/" TargetMode="External"/><Relationship Id="rIdl8w9ric_0owr4xqzt7xgl" Type="http://schemas.openxmlformats.org/officeDocument/2006/relationships/hyperlink" Target="https://www.gibsondunn.com/eu-ai-act-omnibus-agreement-postponed-high-risk-deadlines-and-other-key-changes/"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 AI Act Article 50 client alert</dc:title>
  <dc:creator>Regulation Impact Memo</dc:creator>
  <cp:lastModifiedBy>Un-named</cp:lastModifiedBy>
  <cp:revision>1</cp:revision>
  <dcterms:created xsi:type="dcterms:W3CDTF">2026-10-05T23:30:52.532Z</dcterms:created>
  <dcterms:modified xsi:type="dcterms:W3CDTF">2026-10-05T23:30:52.532Z</dcterms:modified>
</cp:coreProperties>
</file>

<file path=docProps/custom.xml><?xml version="1.0" encoding="utf-8"?>
<Properties xmlns="http://schemas.openxmlformats.org/officeDocument/2006/custom-properties" xmlns:vt="http://schemas.openxmlformats.org/officeDocument/2006/docPropsVTypes"/>
</file>