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1E293B"/>
          <w:sz w:val="40"/>
          <w:szCs w:val="40"/>
        </w:rPr>
        <w:t xml:space="preserve">Draft Response: Acme Corp Vendor Security Questionnaire</w:t>
      </w:r>
    </w:p>
    <w:p>
      <w:pPr>
        <w:spacing w:after="120" w:line="264"/>
      </w:pPr>
      <w:r>
        <w:rPr>
          <w:rFonts w:ascii="Calibri" w:cs="Calibri" w:eastAsia="Calibri" w:hAnsi="Calibri"/>
          <w:color w:val="64748B"/>
          <w:sz w:val="20"/>
          <w:szCs w:val="20"/>
        </w:rPr>
        <w:t xml:space="preserve">Mapped to SOC 2 Trust Services Criteria. Prepared 5 October 2026. Draft for your review and approval; not legal, compliance or audit advice.</w:t>
      </w:r>
    </w:p>
    <w:p>
      <w:pPr>
        <w:pStyle w:val="Heading1"/>
      </w:pPr>
      <w:r>
        <w:t xml:space="preserve">Bottom line</w:t>
      </w:r>
    </w:p>
    <w:p>
      <w:pPr>
        <w:spacing w:after="120" w:line="264"/>
      </w:pPr>
      <w:r>
        <w:rPr>
          <w:rFonts w:ascii="Calibri" w:cs="Calibri" w:eastAsia="Calibri" w:hAnsi="Calibri"/>
          <w:b/>
          <w:bCs/>
          <w:sz w:val="22"/>
          <w:szCs w:val="22"/>
        </w:rPr>
        <w:t xml:space="preserve">48 items: 1 Met, 1 Partial, 46 Gap. The biggest risk is coverage: only items 1.1 and 1.2 were supplied, so 46 items have no draft. Of the two drafted, 1.2 is Partial because the evidence gives only the review frequency and tool.</w:t>
      </w:r>
    </w:p>
    <w:p>
      <w:pPr>
        <w:spacing w:after="120" w:line="264"/>
      </w:pPr>
      <w:r>
        <w:rPr>
          <w:rFonts w:ascii="Calibri" w:cs="Calibri" w:eastAsia="Calibri" w:hAnsi="Calibri"/>
          <w:sz w:val="22"/>
          <w:szCs w:val="22"/>
        </w:rPr>
        <w:t xml:space="preserve">Interpretation: the request gave the text of items 1.1 and 1.2 and the count (48) only. Items 3 to 48 are shown as open rather than guessed. The three evidence items were provided as titles and one-line descriptions, so the drafts rely on the product fact sheet line; none of InfoSec Policy v3.2 or the SOC 2 Type II summary text was available to quote. Answers are kept under 150 words in a plain tone.</w:t>
      </w:r>
    </w:p>
    <w:p>
      <w:pPr>
        <w:pStyle w:val="Heading1"/>
      </w:pPr>
      <w:r>
        <w:t xml:space="preserve">Response table</w:t>
      </w:r>
    </w:p>
    <w:tbl>
      <w:tblPr>
        <w:tblW w:type="dxa" w:w="14112"/>
        <w:tblBorders>
          <w:top w:val="single" w:color="auto" w:sz="4"/>
          <w:left w:val="single" w:color="auto" w:sz="4"/>
          <w:bottom w:val="single" w:color="auto" w:sz="4"/>
          <w:right w:val="single" w:color="auto" w:sz="4"/>
          <w:insideH w:val="single" w:color="auto" w:sz="4"/>
          <w:insideV w:val="single" w:color="auto" w:sz="4"/>
        </w:tblBorders>
      </w:tblPr>
      <w:tblGrid>
        <w:gridCol w:w="800"/>
        <w:gridCol w:w="2100"/>
        <w:gridCol w:w="4400"/>
        <w:gridCol w:w="2400"/>
        <w:gridCol w:w="900"/>
        <w:gridCol w:w="3512"/>
      </w:tblGrid>
      <w:tr>
        <w:trPr>
          <w:cantSplit/>
          <w:tblHeader/>
        </w:trPr>
        <w:tc>
          <w:tcPr>
            <w:tcW w:type="dxa" w:w="8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18"/>
                <w:szCs w:val="18"/>
              </w:rPr>
              <w:t xml:space="preserve">Item #</w:t>
            </w:r>
          </w:p>
        </w:tc>
        <w:tc>
          <w:tcPr>
            <w:tcW w:type="dxa" w:w="21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18"/>
                <w:szCs w:val="18"/>
              </w:rPr>
              <w:t xml:space="preserve">Requirement (short)</w:t>
            </w:r>
          </w:p>
        </w:tc>
        <w:tc>
          <w:tcPr>
            <w:tcW w:type="dxa" w:w="44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18"/>
                <w:szCs w:val="18"/>
              </w:rPr>
              <w:t xml:space="preserve">Draft response</w:t>
            </w:r>
          </w:p>
        </w:tc>
        <w:tc>
          <w:tcPr>
            <w:tcW w:type="dxa" w:w="24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18"/>
                <w:szCs w:val="18"/>
              </w:rPr>
              <w:t xml:space="preserve">Evidence cited</w:t>
            </w:r>
          </w:p>
        </w:tc>
        <w:tc>
          <w:tcPr>
            <w:tcW w:type="dxa" w:w="9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18"/>
                <w:szCs w:val="18"/>
              </w:rPr>
              <w:t xml:space="preserve">Coverage</w:t>
            </w:r>
          </w:p>
        </w:tc>
        <w:tc>
          <w:tcPr>
            <w:tcW w:type="dxa" w:w="3512"/>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18"/>
                <w:szCs w:val="18"/>
              </w:rPr>
              <w:t xml:space="preserve">Assumptions or questions for reviewer</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1.1</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Encrypt customer data at rest?</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Yes. Customer data is encrypted at rest using AES-256. [CC6.1]</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Product fact sheet (AES-256 at rest; quarterly access reviews via Okta), version/date not provided.</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Met</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Confirm the AES-256 scope covers all customer-data stores, including backups and logs. Key management (CC6.1 "Protects Encryption Keys") is not described in the evidence provided, so the draft makes no key-management claim. Confirm the control is within the 2024 SOC 2 Type II scope before citing the report. Legal or attestation sign-off may be needed before sending.</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1.2</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Describe your access review process.</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We review user access to our systems every quarter. The reviews are run through Okta, our identity provider, and cover whether each person's access is still appropriate. [CC6.2, CC6.3]</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Product fact sheet (AES-256 at rest; quarterly access reviews via Okta), version/date not provided. InfoSec Policy v3.2 and SOC 2 Type II report summary (2024): contents not supplied in text, so not cited for specifics.</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Partial</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Evidence gives only frequency (quarterly) and tool (Okta). Reviewer, systems in scope, how removals are tracked and evidence retention are not stated. Add them from InfoSec Policy v3.2 (section reference needed). Assumption: "identity provider" description of Okta is common usage, not taken from the evidence; confirm. Assumption: "appropriate" tracks CC6.2 language on periodic review of access credentials.</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5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6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7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8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9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10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11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12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13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14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15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16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17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18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19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20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21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22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23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24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25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26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27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28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29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30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31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32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33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34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35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36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37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38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39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40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41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42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43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44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45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46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47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r>
        <w:trPr>
          <w:cantSplit/>
          <w:tblHeader w:val="false"/>
        </w:trPr>
        <w:tc>
          <w:tcPr>
            <w:tcW w:type="dxa" w:w="8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Item 48 of 48</w:t>
            </w:r>
          </w:p>
        </w:tc>
        <w:tc>
          <w:tcPr>
            <w:tcW w:type="dxa" w:w="21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item text not provided</w:t>
            </w:r>
          </w:p>
        </w:tc>
        <w:tc>
          <w:tcPr>
            <w:tcW w:type="dxa" w:w="4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Open. Awaiting full item text. No draft written, to avoid claims without a question to answer.</w:t>
            </w:r>
          </w:p>
        </w:tc>
        <w:tc>
          <w:tcPr>
            <w:tcW w:type="dxa" w:w="24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None yet</w:t>
            </w:r>
          </w:p>
        </w:tc>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Gap</w:t>
            </w:r>
          </w:p>
        </w:tc>
        <w:tc>
          <w:tcPr>
            <w:tcW w:type="dxa" w:w="3512"/>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sz w:val="18"/>
                <w:szCs w:val="18"/>
              </w:rPr>
              <w:t xml:space="preserve">Issuer numbering for this item was not supplied. Position shown is sequential. Send the item text to draft it.</w:t>
            </w:r>
          </w:p>
        </w:tc>
      </w:tr>
    </w:tbl>
    <w:p>
      <w:pPr>
        <w:pStyle w:val="Heading1"/>
      </w:pPr>
      <w:r>
        <w:t xml:space="preserve">Coverage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500"/>
        <w:gridCol w:w="4860"/>
      </w:tblGrid>
      <w:tr>
        <w:trPr>
          <w:tblHeader/>
        </w:trPr>
        <w:tc>
          <w:tcPr>
            <w:tcW w:type="dxa" w:w="30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Status</w:t>
            </w:r>
          </w:p>
        </w:tc>
        <w:tc>
          <w:tcPr>
            <w:tcW w:type="dxa" w:w="15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Items</w:t>
            </w:r>
          </w:p>
        </w:tc>
        <w:tc>
          <w:tcPr>
            <w:tcW w:type="dxa" w:w="486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Which</w:t>
            </w:r>
          </w:p>
        </w:tc>
      </w:tr>
      <w:tr>
        <w:trPr>
          <w:tblHeader w:val="false"/>
        </w:trPr>
        <w:tc>
          <w:tcPr>
            <w:tcW w:type="dxa" w:w="30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Met</w:t>
            </w:r>
          </w:p>
        </w:tc>
        <w:tc>
          <w:tcPr>
            <w:tcW w:type="dxa" w:w="15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w:t>
            </w:r>
          </w:p>
        </w:tc>
        <w:tc>
          <w:tcPr>
            <w:tcW w:type="dxa" w:w="48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1.1</w:t>
            </w:r>
          </w:p>
        </w:tc>
      </w:tr>
      <w:tr>
        <w:trPr>
          <w:tblHeader w:val="false"/>
        </w:trPr>
        <w:tc>
          <w:tcPr>
            <w:tcW w:type="dxa" w:w="30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Partial</w:t>
            </w:r>
          </w:p>
        </w:tc>
        <w:tc>
          <w:tcPr>
            <w:tcW w:type="dxa" w:w="15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w:t>
            </w:r>
          </w:p>
        </w:tc>
        <w:tc>
          <w:tcPr>
            <w:tcW w:type="dxa" w:w="48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1.2</w:t>
            </w:r>
          </w:p>
        </w:tc>
      </w:tr>
      <w:tr>
        <w:trPr>
          <w:tblHeader w:val="false"/>
        </w:trPr>
        <w:tc>
          <w:tcPr>
            <w:tcW w:type="dxa" w:w="30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Gap</w:t>
            </w:r>
          </w:p>
        </w:tc>
        <w:tc>
          <w:tcPr>
            <w:tcW w:type="dxa" w:w="15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46</w:t>
            </w:r>
          </w:p>
        </w:tc>
        <w:tc>
          <w:tcPr>
            <w:tcW w:type="dxa" w:w="48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Items 3 to 48 (text not provided)</w:t>
            </w:r>
          </w:p>
        </w:tc>
      </w:tr>
      <w:tr>
        <w:trPr>
          <w:tblHeader w:val="false"/>
        </w:trPr>
        <w:tc>
          <w:tcPr>
            <w:tcW w:type="dxa" w:w="30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Total</w:t>
            </w:r>
          </w:p>
        </w:tc>
        <w:tc>
          <w:tcPr>
            <w:tcW w:type="dxa" w:w="15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48</w:t>
            </w:r>
          </w:p>
        </w:tc>
        <w:tc>
          <w:tcPr>
            <w:tcW w:type="dxa" w:w="48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
            </w:r>
          </w:p>
        </w:tc>
      </w:tr>
    </w:tbl>
    <w:p>
      <w:pPr>
        <w:spacing w:after="60" w:line="264"/>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600"/>
        <w:gridCol w:w="4560"/>
      </w:tblGrid>
      <w:tr>
        <w:trPr>
          <w:tblHeader/>
        </w:trPr>
        <w:tc>
          <w:tcPr>
            <w:tcW w:type="dxa" w:w="22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TSC criterion</w:t>
            </w:r>
          </w:p>
        </w:tc>
        <w:tc>
          <w:tcPr>
            <w:tcW w:type="dxa" w:w="26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Items mapped</w:t>
            </w:r>
          </w:p>
        </w:tc>
        <w:tc>
          <w:tcPr>
            <w:tcW w:type="dxa" w:w="456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Note</w:t>
            </w:r>
          </w:p>
        </w:tc>
      </w:tr>
      <w:tr>
        <w:trPr>
          <w:tblHeader w:val="false"/>
        </w:trPr>
        <w:tc>
          <w:tcPr>
            <w:tcW w:type="dxa" w:w="22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CC6.1 Logical access security</w:t>
            </w:r>
          </w:p>
        </w:tc>
        <w:tc>
          <w:tcPr>
            <w:tcW w:type="dxa" w:w="26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1.1</w:t>
            </w:r>
          </w:p>
        </w:tc>
        <w:tc>
          <w:tcPr>
            <w:tcW w:type="dxa" w:w="45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Points of focus include "Uses Encryption to Protect Data" and "Protects Encryption Keys".</w:t>
            </w:r>
          </w:p>
        </w:tc>
      </w:tr>
      <w:tr>
        <w:trPr>
          <w:tblHeader w:val="false"/>
        </w:trPr>
        <w:tc>
          <w:tcPr>
            <w:tcW w:type="dxa" w:w="22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CC6.2 Credential issuance and review</w:t>
            </w:r>
          </w:p>
        </w:tc>
        <w:tc>
          <w:tcPr>
            <w:tcW w:type="dxa" w:w="26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1.2</w:t>
            </w:r>
          </w:p>
        </w:tc>
        <w:tc>
          <w:tcPr>
            <w:tcW w:type="dxa" w:w="45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Point of focus: "Reviews Appropriateness of Access Credentials" on a periodic basis.</w:t>
            </w:r>
          </w:p>
        </w:tc>
      </w:tr>
      <w:tr>
        <w:trPr>
          <w:tblHeader w:val="false"/>
        </w:trPr>
        <w:tc>
          <w:tcPr>
            <w:tcW w:type="dxa" w:w="22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CC6.3 Authorize, modify, remove access</w:t>
            </w:r>
          </w:p>
        </w:tc>
        <w:tc>
          <w:tcPr>
            <w:tcW w:type="dxa" w:w="26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1.2</w:t>
            </w:r>
          </w:p>
        </w:tc>
        <w:tc>
          <w:tcPr>
            <w:tcW w:type="dxa" w:w="45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Role-based access, least privilege, segregation of duties.</w:t>
            </w:r>
          </w:p>
        </w:tc>
      </w:tr>
      <w:tr>
        <w:trPr>
          <w:tblHeader w:val="false"/>
        </w:trPr>
        <w:tc>
          <w:tcPr>
            <w:tcW w:type="dxa" w:w="22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Not yet mapped</w:t>
            </w:r>
          </w:p>
        </w:tc>
        <w:tc>
          <w:tcPr>
            <w:tcW w:type="dxa" w:w="26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3 to 48</w:t>
            </w:r>
          </w:p>
        </w:tc>
        <w:tc>
          <w:tcPr>
            <w:tcW w:type="dxa" w:w="45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Cannot map without item text.</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i/>
          <w:iCs/>
          <w:sz w:val="20"/>
          <w:szCs w:val="20"/>
        </w:rPr>
        <w:t xml:space="preserve">Mapping basis: criterion wording below is from the AICPA 2017 Trust Services Criteria (copy that includes the March 2020 updates). The 2022 revised points of focus edition on the AICPA site is behind a free-account login and could not be opened, so wording of the points of focus should be rechecked against the 2022 edition.</w:t>
      </w:r>
    </w:p>
    <w:p>
      <w:pPr>
        <w:spacing w:after="120" w:line="264"/>
      </w:pPr>
      <w:r>
        <w:rPr>
          <w:rFonts w:ascii="Calibri" w:cs="Calibri" w:eastAsia="Calibri" w:hAnsi="Calibri"/>
          <w:sz w:val="20"/>
          <w:szCs w:val="20"/>
        </w:rPr>
        <w:t xml:space="preserve">CC6.1: "The entity implements logical access security software, infrastructure, and architectures over protected information assets to protect them from security events to meet the entity's objectives."</w:t>
      </w:r>
    </w:p>
    <w:p>
      <w:pPr>
        <w:spacing w:after="120" w:line="264"/>
      </w:pPr>
      <w:r>
        <w:rPr>
          <w:rFonts w:ascii="Calibri" w:cs="Calibri" w:eastAsia="Calibri" w:hAnsi="Calibri"/>
          <w:sz w:val="20"/>
          <w:szCs w:val="20"/>
        </w:rPr>
        <w:t xml:space="preserve">CC6.2 (extract): the entity registers and authorizes new users before issuing credentials; point of focus "Reviews Appropriateness of Access Credentials: The appropriateness of access credentials is reviewed on a periodic basis for unnecessary and inappropriate individuals with credentials."</w:t>
      </w:r>
    </w:p>
    <w:p>
      <w:pPr>
        <w:spacing w:after="120" w:line="264"/>
      </w:pPr>
      <w:r>
        <w:rPr>
          <w:rFonts w:ascii="Calibri" w:cs="Calibri" w:eastAsia="Calibri" w:hAnsi="Calibri"/>
          <w:sz w:val="20"/>
          <w:szCs w:val="20"/>
        </w:rPr>
        <w:t xml:space="preserve">CC6.3: "The entity authorizes, modifies, or removes access to data, software, functions, and other protected information assets based on roles, responsibilities, or the system design and changes, giving consideration to the concepts of least privilege and segregation of duties, to meet the entity's objectives."</w:t>
      </w:r>
    </w:p>
    <w:p>
      <w:pPr>
        <w:pStyle w:val="Heading1"/>
      </w:pPr>
      <w:r>
        <w:t xml:space="preserve">Prioritized gap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2500"/>
        <w:gridCol w:w="5960"/>
      </w:tblGrid>
      <w:tr>
        <w:trPr>
          <w:tblHeader/>
        </w:trPr>
        <w:tc>
          <w:tcPr>
            <w:tcW w:type="dxa" w:w="9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Priority</w:t>
            </w:r>
          </w:p>
        </w:tc>
        <w:tc>
          <w:tcPr>
            <w:tcW w:type="dxa" w:w="250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Item</w:t>
            </w:r>
          </w:p>
        </w:tc>
        <w:tc>
          <w:tcPr>
            <w:tcW w:type="dxa" w:w="5960"/>
            <w:tcBorders>
              <w:top w:val="single" w:color="CCCCCC" w:sz="1"/>
              <w:left w:val="single" w:color="CCCCCC" w:sz="1"/>
              <w:bottom w:val="single" w:color="CCCCCC" w:sz="1"/>
              <w:right w:val="single" w:color="CCCCCC" w:sz="1"/>
            </w:tcBorders>
            <w:shd w:fill="334155" w:val="clear"/>
            <w:tcMar>
              <w:top w:type="dxa" w:w="50"/>
              <w:left w:type="dxa" w:w="90"/>
              <w:bottom w:type="dxa" w:w="50"/>
              <w:right w:type="dxa" w:w="90"/>
            </w:tcMar>
          </w:tcPr>
          <w:p>
            <w:pPr>
              <w:spacing w:after="40"/>
            </w:pPr>
            <w:r>
              <w:rPr>
                <w:rFonts w:ascii="Calibri" w:cs="Calibri" w:eastAsia="Calibri" w:hAnsi="Calibri"/>
                <w:b/>
                <w:bCs/>
                <w:color w:val="FFFFFF"/>
                <w:sz w:val="20"/>
                <w:szCs w:val="20"/>
              </w:rPr>
              <w:t xml:space="preserve">Evidence to obtain</w:t>
            </w:r>
          </w:p>
        </w:tc>
      </w:tr>
      <w:tr>
        <w:trPr>
          <w:tblHeader w:val="false"/>
        </w:trPr>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w:t>
            </w:r>
          </w:p>
        </w:tc>
        <w:tc>
          <w:tcPr>
            <w:tcW w:type="dxa" w:w="25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Items 3 to 48 (all Gap)</w:t>
            </w:r>
          </w:p>
        </w:tc>
        <w:tc>
          <w:tcPr>
            <w:tcW w:type="dxa" w:w="59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Full text of each questionnaire item, with Acme's numbering and any mandatory or pass/fail flags, so they can be ordered and drafted.</w:t>
            </w:r>
          </w:p>
        </w:tc>
      </w:tr>
      <w:tr>
        <w:trPr>
          <w:tblHeader w:val="false"/>
        </w:trPr>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2</w:t>
            </w:r>
          </w:p>
        </w:tc>
        <w:tc>
          <w:tcPr>
            <w:tcW w:type="dxa" w:w="25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1.2 (Partial)</w:t>
            </w:r>
          </w:p>
        </w:tc>
        <w:tc>
          <w:tcPr>
            <w:tcW w:type="dxa" w:w="59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InfoSec Policy v3.2 access-review section (owner, scope, removal and sign-off steps); a sample Okta access-review record from the last quarter; confirmation of the review control in the 2024 SOC 2 Type II report summary.</w:t>
            </w:r>
          </w:p>
        </w:tc>
      </w:tr>
      <w:tr>
        <w:trPr>
          <w:tblHeader w:val="false"/>
        </w:trPr>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3</w:t>
            </w:r>
          </w:p>
        </w:tc>
        <w:tc>
          <w:tcPr>
            <w:tcW w:type="dxa" w:w="25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1.1 (Met, confirm scope)</w:t>
            </w:r>
          </w:p>
        </w:tc>
        <w:tc>
          <w:tcPr>
            <w:tcW w:type="dxa" w:w="59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Encryption standard or architecture note naming data stores, backups and key management; the SOC 2 control reference for encryption at rest.</w:t>
            </w:r>
          </w:p>
        </w:tc>
      </w:tr>
      <w:tr>
        <w:trPr>
          <w:tblHeader w:val="false"/>
        </w:trPr>
        <w:tc>
          <w:tcPr>
            <w:tcW w:type="dxa" w:w="9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4</w:t>
            </w:r>
          </w:p>
        </w:tc>
        <w:tc>
          <w:tcPr>
            <w:tcW w:type="dxa" w:w="250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All items</w:t>
            </w:r>
          </w:p>
        </w:tc>
        <w:tc>
          <w:tcPr>
            <w:tcW w:type="dxa" w:w="5960"/>
            <w:tcBorders>
              <w:top w:val="single" w:color="CCCCCC" w:sz="1"/>
              <w:left w:val="single" w:color="CCCCCC" w:sz="1"/>
              <w:bottom w:val="single" w:color="CCCCCC" w:sz="1"/>
              <w:right w:val="single" w:color="CCCCCC" w:sz="1"/>
            </w:tcBorders>
            <w:tcMar>
              <w:top w:type="dxa" w:w="50"/>
              <w:left w:type="dxa" w:w="90"/>
              <w:bottom w:type="dxa" w:w="50"/>
              <w:right w:type="dxa" w:w="90"/>
            </w:tcMar>
          </w:tcPr>
          <w:p>
            <w:pPr>
              <w:spacing w:after="40"/>
            </w:pPr>
            <w:r>
              <w:rPr>
                <w:rFonts w:ascii="Calibri" w:cs="Calibri" w:eastAsia="Calibri" w:hAnsi="Calibri"/>
                <w:b w:val="false"/>
                <w:bCs w:val="false"/>
                <w:color w:val="1E293B"/>
                <w:sz w:val="20"/>
                <w:szCs w:val="20"/>
              </w:rPr>
              <w:t xml:space="preserve">Version and date of the product fact sheet; the SOC 2 report period dates and any exceptions noted.</w:t>
            </w:r>
          </w:p>
        </w:tc>
      </w:tr>
    </w:tbl>
    <w:p>
      <w:pPr>
        <w:pStyle w:val="Heading1"/>
      </w:pPr>
      <w:r>
        <w:t xml:space="preserve">Do next</w:t>
      </w:r>
    </w:p>
    <w:p>
      <w:pPr>
        <w:pStyle w:val="ListParagraph"/>
        <w:numPr>
          <w:ilvl w:val="0"/>
          <w:numId w:val="2"/>
        </w:numPr>
        <w:spacing w:after="80"/>
      </w:pPr>
      <w:r>
        <w:rPr>
          <w:rFonts w:ascii="Calibri" w:cs="Calibri" w:eastAsia="Calibri" w:hAnsi="Calibri"/>
          <w:sz w:val="22"/>
          <w:szCs w:val="22"/>
        </w:rPr>
        <w:t xml:space="preserve">Paste the remaining 46 items (full text, issuer numbering, any word limits) and rerun the draft.</w:t>
      </w:r>
    </w:p>
    <w:p>
      <w:pPr>
        <w:pStyle w:val="ListParagraph"/>
        <w:numPr>
          <w:ilvl w:val="0"/>
          <w:numId w:val="2"/>
        </w:numPr>
        <w:spacing w:after="80"/>
      </w:pPr>
      <w:r>
        <w:rPr>
          <w:rFonts w:ascii="Calibri" w:cs="Calibri" w:eastAsia="Calibri" w:hAnsi="Calibri"/>
          <w:sz w:val="22"/>
          <w:szCs w:val="22"/>
        </w:rPr>
        <w:t xml:space="preserve">Supply the sections of InfoSec Policy v3.2 and the SOC 2 Type II report summary (2024) as text, so answers can cite section numbers and not only the fact sheet.</w:t>
      </w:r>
    </w:p>
    <w:p>
      <w:pPr>
        <w:pStyle w:val="ListParagraph"/>
        <w:numPr>
          <w:ilvl w:val="0"/>
          <w:numId w:val="2"/>
        </w:numPr>
        <w:spacing w:after="80"/>
      </w:pPr>
      <w:r>
        <w:rPr>
          <w:rFonts w:ascii="Calibri" w:cs="Calibri" w:eastAsia="Calibri" w:hAnsi="Calibri"/>
          <w:sz w:val="22"/>
          <w:szCs w:val="22"/>
        </w:rPr>
        <w:t xml:space="preserve">Add reviewer, scope and removal steps to 1.2 from the policy, then regrade it.</w:t>
      </w:r>
    </w:p>
    <w:p>
      <w:pPr>
        <w:pStyle w:val="ListParagraph"/>
        <w:numPr>
          <w:ilvl w:val="0"/>
          <w:numId w:val="2"/>
        </w:numPr>
        <w:spacing w:after="80"/>
      </w:pPr>
      <w:r>
        <w:rPr>
          <w:rFonts w:ascii="Calibri" w:cs="Calibri" w:eastAsia="Calibri" w:hAnsi="Calibri"/>
          <w:sz w:val="22"/>
          <w:szCs w:val="22"/>
        </w:rPr>
        <w:t xml:space="preserve">Confirm encryption scope and key management for 1.1 with engineering.</w:t>
      </w:r>
    </w:p>
    <w:p>
      <w:pPr>
        <w:pStyle w:val="ListParagraph"/>
        <w:numPr>
          <w:ilvl w:val="0"/>
          <w:numId w:val="2"/>
        </w:numPr>
        <w:spacing w:after="80"/>
      </w:pPr>
      <w:r>
        <w:rPr>
          <w:rFonts w:ascii="Calibri" w:cs="Calibri" w:eastAsia="Calibri" w:hAnsi="Calibri"/>
          <w:sz w:val="22"/>
          <w:szCs w:val="22"/>
        </w:rPr>
        <w:t xml:space="preserve">Have security leadership and, if required, legal approve the answers before submission.</w:t>
      </w:r>
    </w:p>
    <w:p>
      <w:pPr>
        <w:pStyle w:val="Heading1"/>
      </w:pPr>
      <w:r>
        <w:t xml:space="preserve">Coverage note</w:t>
      </w:r>
    </w:p>
    <w:p>
      <w:pPr>
        <w:spacing w:after="120" w:line="264"/>
      </w:pPr>
      <w:r>
        <w:rPr>
          <w:rFonts w:ascii="Calibri" w:cs="Calibri" w:eastAsia="Calibri" w:hAnsi="Calibri"/>
          <w:sz w:val="22"/>
          <w:szCs w:val="22"/>
        </w:rPr>
        <w:t xml:space="preserve">Items 3 to 48 were not provided. Policy v3.2 and the SOC 2 summary were named but their text was not supplied. The AICPA 2022 edition could not be opened (login required); the Deloitte DART copy also requires a subscription.</w:t>
      </w:r>
    </w:p>
    <w:p>
      <w:pPr>
        <w:pStyle w:val="Heading1"/>
      </w:pPr>
      <w:r>
        <w:t xml:space="preserve">Sources</w:t>
      </w:r>
    </w:p>
    <w:p>
      <w:pPr>
        <w:spacing w:after="60" w:line="264"/>
      </w:pPr>
      <w:r>
        <w:rPr>
          <w:rFonts w:ascii="Calibri" w:cs="Calibri" w:eastAsia="Calibri" w:hAnsi="Calibri"/>
          <w:b/>
          <w:bCs/>
          <w:sz w:val="22"/>
          <w:szCs w:val="22"/>
        </w:rPr>
        <w:t xml:space="preserve">Your materials</w:t>
      </w:r>
    </w:p>
    <w:p>
      <w:pPr>
        <w:pStyle w:val="ListParagraph"/>
        <w:numPr>
          <w:ilvl w:val="0"/>
          <w:numId w:val="2"/>
        </w:numPr>
        <w:spacing w:after="80"/>
      </w:pPr>
      <w:r>
        <w:rPr>
          <w:rFonts w:ascii="Calibri" w:cs="Calibri" w:eastAsia="Calibri" w:hAnsi="Calibri"/>
          <w:sz w:val="22"/>
          <w:szCs w:val="22"/>
        </w:rPr>
        <w:t xml:space="preserve">InfoSec Policy v3.2 (text not supplied; date not provided)</w:t>
      </w:r>
    </w:p>
    <w:p>
      <w:pPr>
        <w:pStyle w:val="ListParagraph"/>
        <w:numPr>
          <w:ilvl w:val="0"/>
          <w:numId w:val="2"/>
        </w:numPr>
        <w:spacing w:after="80"/>
      </w:pPr>
      <w:r>
        <w:rPr>
          <w:rFonts w:ascii="Calibri" w:cs="Calibri" w:eastAsia="Calibri" w:hAnsi="Calibri"/>
          <w:sz w:val="22"/>
          <w:szCs w:val="22"/>
        </w:rPr>
        <w:t xml:space="preserve">SOC 2 Type II report summary, 2024 (text not supplied)</w:t>
      </w:r>
    </w:p>
    <w:p>
      <w:pPr>
        <w:pStyle w:val="ListParagraph"/>
        <w:numPr>
          <w:ilvl w:val="0"/>
          <w:numId w:val="2"/>
        </w:numPr>
        <w:spacing w:after="80"/>
      </w:pPr>
      <w:r>
        <w:rPr>
          <w:rFonts w:ascii="Calibri" w:cs="Calibri" w:eastAsia="Calibri" w:hAnsi="Calibri"/>
          <w:sz w:val="22"/>
          <w:szCs w:val="22"/>
        </w:rPr>
        <w:t xml:space="preserve">Product fact sheet: AES-256 at rest; quarterly access reviews via Okta (version/date not provided)</w:t>
      </w:r>
    </w:p>
    <w:p>
      <w:pPr>
        <w:spacing w:after="60" w:line="264"/>
      </w:pPr>
      <w:r>
        <w:rPr>
          <w:rFonts w:ascii="Calibri" w:cs="Calibri" w:eastAsia="Calibri" w:hAnsi="Calibri"/>
          <w:b/>
          <w:bCs/>
          <w:sz w:val="22"/>
          <w:szCs w:val="22"/>
        </w:rPr>
        <w:t xml:space="preserve">Public references (accessed 5 October 2026)</w:t>
      </w:r>
    </w:p>
    <w:p>
      <w:pPr>
        <w:pStyle w:val="ListParagraph"/>
        <w:numPr>
          <w:ilvl w:val="0"/>
          <w:numId w:val="2"/>
        </w:numPr>
        <w:spacing w:after="80"/>
      </w:pPr>
      <w:hyperlink w:history="1" r:id="rIdbvdykta_oe2m3pxkiyj6f">
        <w:r>
          <w:rPr>
            <w:rStyle w:val="Hyperlink"/>
            <w:sz w:val="20"/>
            <w:szCs w:val="20"/>
          </w:rPr>
          <w:t xml:space="preserve">2017 Trust Services Criteria for Security, Availability, Processing Integrity, Confidentiality, and Privacy, includes March 2020 updates (PDF copy; source of the CC6.1, CC6.2, CC6.3 wording)</w:t>
        </w:r>
      </w:hyperlink>
    </w:p>
    <w:p>
      <w:pPr>
        <w:pStyle w:val="ListParagraph"/>
        <w:numPr>
          <w:ilvl w:val="0"/>
          <w:numId w:val="2"/>
        </w:numPr>
        <w:spacing w:after="80"/>
      </w:pPr>
      <w:hyperlink w:history="1" r:id="rIdm9axhrbmok018ixs3k6dg">
        <w:r>
          <w:rPr>
            <w:rStyle w:val="Hyperlink"/>
            <w:sz w:val="20"/>
            <w:szCs w:val="20"/>
          </w:rPr>
          <w:t xml:space="preserve">AICPA &amp; CIMA: 2017 Trust Services Criteria (With Revised Points of Focus, 2022) (login required; not read)</w:t>
        </w:r>
      </w:hyperlink>
    </w:p>
    <w:sectPr>
      <w:headerReference w:type="default" r:id="rId7"/>
      <w:footerReference w:type="default" r:id="rId8"/>
      <w:pgSz w:w="15840" w:h="12240" w:orient="landscape"/>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4A3B8"/>
        <w:sz w:val="16"/>
        <w:szCs w:val="16"/>
      </w:rPr>
      <w:t xml:space="preserve">Page </w:t>
    </w:r>
    <w:r>
      <w:rPr>
        <w:color w:val="94A3B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4A3B8"/>
        <w:sz w:val="16"/>
        <w:szCs w:val="16"/>
      </w:rPr>
      <w:t xml:space="preserve">Acme Corp vendor security questionnaire: draft response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300"/>
    </w:pPr>
    <w:rPr>
      <w:rFonts w:ascii="Arial" w:cs="Arial" w:eastAsia="Arial" w:hAnsi="Arial"/>
      <w:b/>
      <w:bCs/>
      <w:color w:val="1E293B"/>
      <w:sz w:val="30"/>
      <w:szCs w:val="30"/>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vdykta_oe2m3pxkiyj6f" Type="http://schemas.openxmlformats.org/officeDocument/2006/relationships/hyperlink" Target="https://assets.ctfassets.net/rb9cdnjh59cm/72xv4p67HVXKp6CjWmjkPk/1cdbfa19f6307e2720396b66a6194dc9/trust-services-criteria-updated-copyright.pdf" TargetMode="External"/><Relationship Id="rIdm9axhrbmok018ixs3k6dg" Type="http://schemas.openxmlformats.org/officeDocument/2006/relationships/hyperlink" Target="https://www.aicpa-cima.com/resources/download/2017-trust-services-criteria-with-revised-points-of-focus-202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Response: Acme Corp Vendor Security Questionnaire</dc:title>
  <dc:creator>Requirements Response Drafter</dc:creator>
  <cp:lastModifiedBy>Un-named</cp:lastModifiedBy>
  <cp:revision>1</cp:revision>
  <dcterms:created xsi:type="dcterms:W3CDTF">2026-10-05T23:23:20.971Z</dcterms:created>
  <dcterms:modified xsi:type="dcterms:W3CDTF">2026-10-05T23:23:20.971Z</dcterms:modified>
</cp:coreProperties>
</file>

<file path=docProps/custom.xml><?xml version="1.0" encoding="utf-8"?>
<Properties xmlns="http://schemas.openxmlformats.org/officeDocument/2006/custom-properties" xmlns:vt="http://schemas.openxmlformats.org/officeDocument/2006/docPropsVTypes"/>
</file>